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32141" w:rsidRDefault="0087623F">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#103</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R1-200</w:t>
      </w:r>
      <w:r>
        <w:rPr>
          <w:rFonts w:ascii="Arial" w:hAnsi="Arial" w:cs="Arial" w:hint="eastAsia"/>
          <w:b/>
          <w:bCs/>
          <w:sz w:val="22"/>
          <w:szCs w:val="22"/>
        </w:rPr>
        <w:t>8858</w:t>
      </w:r>
    </w:p>
    <w:p w:rsidR="00E32141" w:rsidRDefault="0087623F">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w:t>
      </w:r>
      <w:r>
        <w:rPr>
          <w:rFonts w:ascii="Arial" w:hAnsi="Arial" w:cs="Arial" w:hint="eastAsia"/>
          <w:b/>
          <w:bCs/>
          <w:sz w:val="22"/>
          <w:szCs w:val="22"/>
          <w:lang w:eastAsia="ja-JP"/>
        </w:rPr>
        <w:t xml:space="preserve">, </w:t>
      </w:r>
      <w:r>
        <w:rPr>
          <w:rFonts w:ascii="Arial" w:hAnsi="Arial" w:cs="Arial" w:hint="eastAsia"/>
          <w:b/>
          <w:bCs/>
          <w:sz w:val="22"/>
          <w:szCs w:val="22"/>
        </w:rPr>
        <w:t>October 26</w:t>
      </w:r>
      <w:r>
        <w:rPr>
          <w:rFonts w:ascii="Arial" w:hAnsi="Arial" w:cs="Arial" w:hint="eastAsia"/>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November 13</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w:t>
      </w:r>
      <w:r>
        <w:rPr>
          <w:rFonts w:ascii="Arial" w:hAnsi="Arial" w:cs="Arial" w:hint="eastAsia"/>
          <w:b/>
          <w:bCs/>
          <w:sz w:val="22"/>
          <w:szCs w:val="22"/>
        </w:rPr>
        <w:t>0</w:t>
      </w:r>
    </w:p>
    <w:p w:rsidR="00E32141" w:rsidRDefault="00E32141">
      <w:pPr>
        <w:tabs>
          <w:tab w:val="center" w:pos="4536"/>
          <w:tab w:val="right" w:pos="9639"/>
        </w:tabs>
        <w:spacing w:beforeLines="0" w:after="120" w:line="240" w:lineRule="auto"/>
        <w:ind w:right="2"/>
        <w:rPr>
          <w:rFonts w:ascii="Arial" w:hAnsi="Arial" w:cs="Arial"/>
          <w:b/>
          <w:bCs/>
          <w:sz w:val="22"/>
          <w:szCs w:val="22"/>
        </w:rPr>
      </w:pPr>
    </w:p>
    <w:p w:rsidR="00E32141" w:rsidRDefault="0087623F">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Enhancements to the </w:t>
      </w:r>
      <w:r>
        <w:rPr>
          <w:rFonts w:ascii="Arial" w:hAnsi="Arial"/>
          <w:b/>
          <w:sz w:val="22"/>
          <w:szCs w:val="22"/>
        </w:rPr>
        <w:t xml:space="preserve">IAB </w:t>
      </w:r>
      <w:r>
        <w:rPr>
          <w:rFonts w:ascii="Arial" w:hAnsi="Arial" w:hint="eastAsia"/>
          <w:b/>
          <w:sz w:val="22"/>
          <w:szCs w:val="22"/>
        </w:rPr>
        <w:t>resource multiplexing</w:t>
      </w:r>
    </w:p>
    <w:p w:rsidR="00E32141" w:rsidRDefault="0087623F">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E32141" w:rsidRDefault="0087623F">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8.10.1</w:t>
      </w:r>
    </w:p>
    <w:p w:rsidR="00E32141" w:rsidRDefault="0087623F">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E32141" w:rsidRDefault="0087623F">
      <w:pPr>
        <w:pStyle w:val="1"/>
        <w:spacing w:before="120" w:after="120"/>
        <w:ind w:left="0"/>
        <w:rPr>
          <w:rFonts w:eastAsia="宋体"/>
        </w:rPr>
      </w:pPr>
      <w:r>
        <w:rPr>
          <w:rFonts w:eastAsia="宋体" w:hint="eastAsia"/>
        </w:rPr>
        <w:t>Introduction</w:t>
      </w:r>
    </w:p>
    <w:p w:rsidR="00E32141" w:rsidRDefault="0087623F">
      <w:pPr>
        <w:spacing w:before="120" w:after="120"/>
        <w:rPr>
          <w:sz w:val="20"/>
        </w:rPr>
      </w:pPr>
      <w:r>
        <w:rPr>
          <w:rFonts w:hint="eastAsia"/>
          <w:sz w:val="20"/>
        </w:rPr>
        <w:t>RAN1#102e made the following agreements on enhancements to resource multiplexing between child and parent links of an IAB node [1]:</w:t>
      </w:r>
    </w:p>
    <w:tbl>
      <w:tblPr>
        <w:tblStyle w:val="ad"/>
        <w:tblW w:w="0" w:type="auto"/>
        <w:tblLook w:val="04A0" w:firstRow="1" w:lastRow="0" w:firstColumn="1" w:lastColumn="0" w:noHBand="0" w:noVBand="1"/>
      </w:tblPr>
      <w:tblGrid>
        <w:gridCol w:w="9876"/>
      </w:tblGrid>
      <w:tr w:rsidR="00E32141">
        <w:tc>
          <w:tcPr>
            <w:tcW w:w="9876" w:type="dxa"/>
          </w:tcPr>
          <w:p w:rsidR="00E32141" w:rsidRDefault="0087623F">
            <w:pPr>
              <w:spacing w:before="120" w:after="120"/>
              <w:rPr>
                <w:rFonts w:eastAsia="Calibri" w:cs="Times"/>
                <w:b/>
                <w:bCs/>
                <w:sz w:val="20"/>
                <w:highlight w:val="green"/>
              </w:rPr>
            </w:pPr>
            <w:r>
              <w:rPr>
                <w:rFonts w:eastAsia="Calibri" w:cs="Times"/>
                <w:b/>
                <w:bCs/>
                <w:sz w:val="20"/>
                <w:highlight w:val="green"/>
              </w:rPr>
              <w:t>Agreement</w:t>
            </w:r>
          </w:p>
          <w:p w:rsidR="00E32141" w:rsidRDefault="0087623F">
            <w:pPr>
              <w:spacing w:before="120" w:after="120"/>
              <w:rPr>
                <w:rFonts w:eastAsia="Calibri" w:cs="Times"/>
                <w:sz w:val="20"/>
              </w:rPr>
            </w:pPr>
            <w:r>
              <w:rPr>
                <w:rFonts w:eastAsia="Calibri" w:cs="Times"/>
                <w:sz w:val="20"/>
              </w:rPr>
              <w:t xml:space="preserve">The Rel-16 semi-static and dynamic resource allocation mechanisms are the starting point for supporting Rel-17 multiplexing cases. </w:t>
            </w:r>
          </w:p>
          <w:p w:rsidR="00E32141" w:rsidRDefault="0087623F">
            <w:pPr>
              <w:pStyle w:val="af0"/>
              <w:numPr>
                <w:ilvl w:val="0"/>
                <w:numId w:val="9"/>
              </w:numPr>
              <w:spacing w:after="120"/>
              <w:rPr>
                <w:rFonts w:eastAsia="Calibri" w:cs="Times"/>
                <w:sz w:val="20"/>
                <w:szCs w:val="20"/>
              </w:rPr>
            </w:pPr>
            <w:r>
              <w:rPr>
                <w:rFonts w:eastAsia="Calibri" w:cs="Times"/>
                <w:sz w:val="20"/>
                <w:szCs w:val="20"/>
              </w:rPr>
              <w:t>FFS: Applicability for different IAB-DU resource types</w:t>
            </w:r>
          </w:p>
          <w:p w:rsidR="00E32141" w:rsidRDefault="0087623F">
            <w:pPr>
              <w:pStyle w:val="af0"/>
              <w:numPr>
                <w:ilvl w:val="0"/>
                <w:numId w:val="9"/>
              </w:numPr>
              <w:spacing w:after="120"/>
              <w:rPr>
                <w:rFonts w:eastAsia="Calibri" w:cs="Times"/>
                <w:sz w:val="20"/>
                <w:szCs w:val="20"/>
              </w:rPr>
            </w:pPr>
            <w:r>
              <w:rPr>
                <w:rFonts w:eastAsia="Calibri" w:cs="Times"/>
                <w:sz w:val="20"/>
                <w:szCs w:val="20"/>
              </w:rPr>
              <w:t>FFS: Cell-specific/semi-static signals and channels at the IAB-DU and/or IAB-MT</w:t>
            </w:r>
          </w:p>
          <w:p w:rsidR="00E32141" w:rsidRDefault="0087623F">
            <w:pPr>
              <w:spacing w:before="120" w:after="120"/>
              <w:rPr>
                <w:rFonts w:eastAsia="Calibri" w:cs="Times"/>
                <w:b/>
                <w:bCs/>
                <w:sz w:val="20"/>
                <w:highlight w:val="green"/>
              </w:rPr>
            </w:pPr>
            <w:r>
              <w:rPr>
                <w:rFonts w:eastAsia="Calibri" w:cs="Times"/>
                <w:b/>
                <w:bCs/>
                <w:sz w:val="20"/>
                <w:highlight w:val="green"/>
              </w:rPr>
              <w:t>Agreement</w:t>
            </w:r>
          </w:p>
          <w:p w:rsidR="00E32141" w:rsidRDefault="0087623F">
            <w:pPr>
              <w:pStyle w:val="af0"/>
              <w:numPr>
                <w:ilvl w:val="0"/>
                <w:numId w:val="10"/>
              </w:numPr>
              <w:spacing w:after="120"/>
              <w:rPr>
                <w:rFonts w:eastAsia="Calibri" w:cs="Times"/>
                <w:sz w:val="20"/>
                <w:szCs w:val="20"/>
              </w:rPr>
            </w:pPr>
            <w:r>
              <w:rPr>
                <w:rFonts w:eastAsia="Calibri" w:cs="Times"/>
                <w:sz w:val="20"/>
                <w:szCs w:val="20"/>
              </w:rPr>
              <w:t>Based on the WID, the following multiplexing cases are in scope for potential support in Rel-17:</w:t>
            </w:r>
          </w:p>
          <w:p w:rsidR="00E32141" w:rsidRDefault="0087623F">
            <w:pPr>
              <w:pStyle w:val="af0"/>
              <w:numPr>
                <w:ilvl w:val="1"/>
                <w:numId w:val="10"/>
              </w:numPr>
              <w:spacing w:after="120"/>
              <w:rPr>
                <w:rFonts w:cs="Times"/>
                <w:color w:val="000000"/>
                <w:sz w:val="20"/>
                <w:szCs w:val="20"/>
              </w:rPr>
            </w:pPr>
            <w:r>
              <w:rPr>
                <w:rFonts w:cs="Times"/>
                <w:color w:val="000000"/>
                <w:sz w:val="20"/>
                <w:szCs w:val="20"/>
              </w:rPr>
              <w:t xml:space="preserve">Multiplexing Case A: Simultaneous MT-Tx/DU-Tx </w:t>
            </w:r>
          </w:p>
          <w:p w:rsidR="00E32141" w:rsidRDefault="0087623F">
            <w:pPr>
              <w:pStyle w:val="af0"/>
              <w:numPr>
                <w:ilvl w:val="1"/>
                <w:numId w:val="10"/>
              </w:numPr>
              <w:spacing w:after="120"/>
              <w:rPr>
                <w:rFonts w:cs="Times"/>
                <w:color w:val="000000"/>
                <w:sz w:val="20"/>
                <w:szCs w:val="20"/>
              </w:rPr>
            </w:pPr>
            <w:r>
              <w:rPr>
                <w:rFonts w:cs="Times"/>
                <w:color w:val="000000"/>
                <w:sz w:val="20"/>
                <w:szCs w:val="20"/>
              </w:rPr>
              <w:t xml:space="preserve">Multiplexing Case B: Simultaneous MT-Rx/DU-Rx </w:t>
            </w:r>
          </w:p>
          <w:p w:rsidR="00E32141" w:rsidRDefault="0087623F">
            <w:pPr>
              <w:pStyle w:val="af0"/>
              <w:numPr>
                <w:ilvl w:val="1"/>
                <w:numId w:val="10"/>
              </w:numPr>
              <w:spacing w:after="120"/>
              <w:rPr>
                <w:rFonts w:cs="Times"/>
                <w:color w:val="000000"/>
                <w:sz w:val="20"/>
                <w:szCs w:val="20"/>
              </w:rPr>
            </w:pPr>
            <w:r>
              <w:rPr>
                <w:rFonts w:cs="Times"/>
                <w:color w:val="000000"/>
                <w:sz w:val="20"/>
                <w:szCs w:val="20"/>
              </w:rPr>
              <w:t xml:space="preserve">Multiplexing Case C: Simultaneous MT-Rx/DU-Tx </w:t>
            </w:r>
          </w:p>
          <w:p w:rsidR="00E32141" w:rsidRDefault="0087623F">
            <w:pPr>
              <w:pStyle w:val="af0"/>
              <w:numPr>
                <w:ilvl w:val="1"/>
                <w:numId w:val="10"/>
              </w:numPr>
              <w:spacing w:after="120"/>
              <w:rPr>
                <w:rFonts w:cs="Times"/>
                <w:color w:val="000000"/>
                <w:sz w:val="20"/>
                <w:szCs w:val="20"/>
              </w:rPr>
            </w:pPr>
            <w:r>
              <w:rPr>
                <w:rFonts w:cs="Times"/>
                <w:color w:val="000000"/>
                <w:sz w:val="20"/>
                <w:szCs w:val="20"/>
              </w:rPr>
              <w:t xml:space="preserve">Multiplexing Case D: Simultaneous MT-Tx/DU-Rx </w:t>
            </w:r>
          </w:p>
          <w:p w:rsidR="00E32141" w:rsidRDefault="0087623F">
            <w:pPr>
              <w:pStyle w:val="af0"/>
              <w:numPr>
                <w:ilvl w:val="0"/>
                <w:numId w:val="10"/>
              </w:numPr>
              <w:spacing w:after="120"/>
              <w:rPr>
                <w:rFonts w:cs="Times"/>
                <w:color w:val="000000"/>
                <w:sz w:val="20"/>
                <w:szCs w:val="20"/>
              </w:rPr>
            </w:pPr>
            <w:r>
              <w:rPr>
                <w:rFonts w:cs="Times"/>
                <w:color w:val="000000"/>
                <w:sz w:val="20"/>
                <w:szCs w:val="20"/>
              </w:rPr>
              <w:t>Further study for Case A and Case B at least the following scenarios:</w:t>
            </w:r>
          </w:p>
          <w:p w:rsidR="00E32141" w:rsidRDefault="0087623F">
            <w:pPr>
              <w:pStyle w:val="af0"/>
              <w:numPr>
                <w:ilvl w:val="1"/>
                <w:numId w:val="10"/>
              </w:numPr>
              <w:spacing w:after="120"/>
              <w:rPr>
                <w:rFonts w:cs="Times"/>
                <w:color w:val="000000"/>
                <w:sz w:val="20"/>
                <w:szCs w:val="20"/>
              </w:rPr>
            </w:pPr>
            <w:r>
              <w:rPr>
                <w:rFonts w:cs="Times"/>
                <w:color w:val="000000"/>
                <w:sz w:val="20"/>
                <w:szCs w:val="20"/>
              </w:rPr>
              <w:t>Single or multi-panel IAB nodes operating in unpaired spectrum (FR1 and FR2 bands)</w:t>
            </w:r>
          </w:p>
          <w:p w:rsidR="00E32141" w:rsidRDefault="0087623F">
            <w:pPr>
              <w:pStyle w:val="af0"/>
              <w:numPr>
                <w:ilvl w:val="0"/>
                <w:numId w:val="10"/>
              </w:numPr>
              <w:spacing w:after="120"/>
              <w:rPr>
                <w:rFonts w:cs="Times"/>
                <w:color w:val="000000"/>
                <w:sz w:val="20"/>
                <w:szCs w:val="20"/>
              </w:rPr>
            </w:pPr>
            <w:r>
              <w:rPr>
                <w:rFonts w:cs="Times"/>
                <w:color w:val="000000"/>
                <w:sz w:val="20"/>
                <w:szCs w:val="20"/>
              </w:rPr>
              <w:t>Further study for Case C and Case D at least for the following scenarios:</w:t>
            </w:r>
          </w:p>
          <w:p w:rsidR="00E32141" w:rsidRDefault="0087623F">
            <w:pPr>
              <w:pStyle w:val="af0"/>
              <w:numPr>
                <w:ilvl w:val="1"/>
                <w:numId w:val="10"/>
              </w:numPr>
              <w:spacing w:after="120"/>
              <w:rPr>
                <w:rFonts w:eastAsia="Calibri" w:cs="Times"/>
                <w:sz w:val="20"/>
                <w:szCs w:val="20"/>
              </w:rPr>
            </w:pPr>
            <w:r>
              <w:rPr>
                <w:rFonts w:cs="Times"/>
                <w:color w:val="000000"/>
                <w:sz w:val="20"/>
                <w:szCs w:val="20"/>
              </w:rPr>
              <w:t xml:space="preserve">Multi-panel IAB nodes operating in unpaired spectrum (FR1 and FR2 bands) </w:t>
            </w:r>
          </w:p>
          <w:p w:rsidR="00E32141" w:rsidRDefault="0087623F">
            <w:pPr>
              <w:pStyle w:val="af0"/>
              <w:numPr>
                <w:ilvl w:val="0"/>
                <w:numId w:val="10"/>
              </w:numPr>
              <w:spacing w:after="120"/>
              <w:rPr>
                <w:rFonts w:eastAsia="Calibri" w:cs="Times"/>
                <w:sz w:val="20"/>
                <w:szCs w:val="20"/>
              </w:rPr>
            </w:pPr>
            <w:r>
              <w:rPr>
                <w:rFonts w:eastAsia="Calibri" w:cs="Times"/>
                <w:sz w:val="20"/>
                <w:szCs w:val="20"/>
              </w:rPr>
              <w:t xml:space="preserve">FFS: Required level of specification impact to support the different cases. Any additional specification support in Rel-17 should be </w:t>
            </w:r>
            <w:r>
              <w:rPr>
                <w:rFonts w:cs="Times"/>
                <w:color w:val="000000"/>
                <w:sz w:val="20"/>
                <w:szCs w:val="20"/>
              </w:rPr>
              <w:t xml:space="preserve">conditioned on feasibility from an interference and reliability perspective on a per-link and network basis </w:t>
            </w:r>
          </w:p>
          <w:p w:rsidR="00E32141" w:rsidRDefault="00E32141">
            <w:pPr>
              <w:spacing w:before="120" w:after="120"/>
              <w:rPr>
                <w:sz w:val="20"/>
              </w:rPr>
            </w:pPr>
          </w:p>
        </w:tc>
      </w:tr>
    </w:tbl>
    <w:p w:rsidR="00E32141" w:rsidRDefault="0087623F">
      <w:pPr>
        <w:spacing w:before="120" w:after="120"/>
        <w:rPr>
          <w:sz w:val="20"/>
        </w:rPr>
      </w:pPr>
      <w:r>
        <w:rPr>
          <w:sz w:val="20"/>
        </w:rPr>
        <w:t xml:space="preserve">This contribution discusses </w:t>
      </w:r>
      <w:r>
        <w:rPr>
          <w:rFonts w:hint="eastAsia"/>
          <w:sz w:val="20"/>
        </w:rPr>
        <w:t xml:space="preserve">some issues related to FDM/SDM </w:t>
      </w:r>
      <w:r>
        <w:rPr>
          <w:sz w:val="20"/>
        </w:rPr>
        <w:t>multiplexing</w:t>
      </w:r>
      <w:r>
        <w:rPr>
          <w:rFonts w:hint="eastAsia"/>
          <w:sz w:val="20"/>
        </w:rPr>
        <w:t xml:space="preserve"> for IAB node</w:t>
      </w:r>
      <w:r>
        <w:rPr>
          <w:rFonts w:hint="eastAsia"/>
          <w:sz w:val="20"/>
          <w:szCs w:val="22"/>
        </w:rPr>
        <w:t xml:space="preserve">. </w:t>
      </w:r>
    </w:p>
    <w:p w:rsidR="00E32141" w:rsidRDefault="0087623F">
      <w:pPr>
        <w:pStyle w:val="1"/>
        <w:spacing w:before="120" w:after="120"/>
        <w:ind w:left="0"/>
        <w:rPr>
          <w:szCs w:val="22"/>
        </w:rPr>
      </w:pPr>
      <w:r>
        <w:rPr>
          <w:rFonts w:eastAsia="宋体" w:hint="eastAsia"/>
          <w:szCs w:val="22"/>
        </w:rPr>
        <w:t>Discussion</w:t>
      </w:r>
    </w:p>
    <w:p w:rsidR="00E32141" w:rsidRDefault="0087623F">
      <w:pPr>
        <w:pStyle w:val="2"/>
        <w:spacing w:before="120" w:after="120"/>
        <w:ind w:right="210"/>
        <w:rPr>
          <w:rFonts w:ascii="Arial" w:hAnsi="Arial" w:cs="Arial"/>
        </w:rPr>
      </w:pPr>
      <w:r>
        <w:rPr>
          <w:rFonts w:ascii="Arial" w:hAnsi="Arial" w:cs="Arial" w:hint="eastAsia"/>
        </w:rPr>
        <w:t>2.1 Resource configuration in frequency domain for DU</w:t>
      </w:r>
    </w:p>
    <w:p w:rsidR="00E32141" w:rsidRDefault="0087623F">
      <w:pPr>
        <w:spacing w:beforeLines="0" w:afterLines="0" w:line="259" w:lineRule="auto"/>
        <w:rPr>
          <w:sz w:val="20"/>
        </w:rPr>
      </w:pPr>
      <w:r>
        <w:rPr>
          <w:rFonts w:hint="eastAsia"/>
          <w:sz w:val="20"/>
        </w:rPr>
        <w:t xml:space="preserve">In Rel-16, IAB specifications mainly focus on TDM </w:t>
      </w:r>
      <w:r>
        <w:rPr>
          <w:sz w:val="20"/>
        </w:rPr>
        <w:t>between parent link and child link</w:t>
      </w:r>
      <w:r>
        <w:rPr>
          <w:rFonts w:hint="eastAsia"/>
          <w:sz w:val="20"/>
        </w:rPr>
        <w:t xml:space="preserve"> with consideration for forward compatibility for potential support of FDM/SDM.</w:t>
      </w:r>
      <w:r>
        <w:rPr>
          <w:sz w:val="20"/>
        </w:rPr>
        <w:t xml:space="preserve"> D</w:t>
      </w:r>
      <w:r>
        <w:rPr>
          <w:rFonts w:hint="eastAsia"/>
          <w:sz w:val="20"/>
        </w:rPr>
        <w:t xml:space="preserve">ue to the network-wide implications of half duplexing constraint, IAB-DU resource can be configured semi-statically as D/F/U and H/S/NA by CU in the time domain, availability of the soft resources configured by CU can be further indicated by the parent node through DCI format 2_5. </w:t>
      </w:r>
      <w:r>
        <w:rPr>
          <w:sz w:val="20"/>
        </w:rPr>
        <w:t>Meanwhile</w:t>
      </w:r>
      <w:r>
        <w:rPr>
          <w:rFonts w:hint="eastAsia"/>
          <w:sz w:val="20"/>
        </w:rPr>
        <w:t xml:space="preserve">, </w:t>
      </w:r>
      <w:r>
        <w:rPr>
          <w:sz w:val="20"/>
        </w:rPr>
        <w:t xml:space="preserve">it is not considered in Rel-16 </w:t>
      </w:r>
      <w:r>
        <w:rPr>
          <w:rFonts w:hint="eastAsia"/>
          <w:sz w:val="20"/>
        </w:rPr>
        <w:t xml:space="preserve">whether </w:t>
      </w:r>
      <w:r>
        <w:rPr>
          <w:sz w:val="20"/>
        </w:rPr>
        <w:t>and</w:t>
      </w:r>
      <w:r>
        <w:rPr>
          <w:rFonts w:hint="eastAsia"/>
          <w:sz w:val="20"/>
        </w:rPr>
        <w:t xml:space="preserve"> how to divide frequency</w:t>
      </w:r>
      <w:r>
        <w:rPr>
          <w:sz w:val="20"/>
        </w:rPr>
        <w:t xml:space="preserve">-domain </w:t>
      </w:r>
      <w:r>
        <w:rPr>
          <w:rFonts w:hint="eastAsia"/>
          <w:sz w:val="20"/>
        </w:rPr>
        <w:t>resources between parent link and child link.</w:t>
      </w:r>
    </w:p>
    <w:p w:rsidR="00E32141" w:rsidRDefault="0087623F">
      <w:pPr>
        <w:spacing w:beforeLines="0" w:afterLines="0" w:line="259" w:lineRule="auto"/>
        <w:rPr>
          <w:sz w:val="20"/>
        </w:rPr>
      </w:pPr>
      <w:r>
        <w:rPr>
          <w:sz w:val="20"/>
        </w:rPr>
        <w:lastRenderedPageBreak/>
        <w:t>In Rel-17 IAB</w:t>
      </w:r>
      <w:r>
        <w:rPr>
          <w:rFonts w:hint="eastAsia"/>
          <w:sz w:val="20"/>
        </w:rPr>
        <w:t xml:space="preserve"> WID</w:t>
      </w:r>
      <w:r>
        <w:rPr>
          <w:sz w:val="20"/>
        </w:rPr>
        <w:t xml:space="preserve"> </w:t>
      </w:r>
      <w:r>
        <w:rPr>
          <w:rFonts w:hint="eastAsia"/>
          <w:sz w:val="20"/>
        </w:rPr>
        <w:t xml:space="preserve">[2], one of new functionalities </w:t>
      </w:r>
      <w:r>
        <w:rPr>
          <w:sz w:val="20"/>
        </w:rPr>
        <w:t>is the</w:t>
      </w:r>
      <w:r>
        <w:rPr>
          <w:rFonts w:hint="eastAsia"/>
          <w:sz w:val="20"/>
        </w:rPr>
        <w:t xml:space="preserve"> duplexing enhancements on simultaneous transmissions and/or reception on </w:t>
      </w:r>
      <w:r>
        <w:rPr>
          <w:sz w:val="20"/>
        </w:rPr>
        <w:t>parent link and child link</w:t>
      </w:r>
      <w:r>
        <w:rPr>
          <w:rFonts w:hint="eastAsia"/>
          <w:sz w:val="20"/>
        </w:rPr>
        <w:t>, i.e.,</w:t>
      </w:r>
      <w:r>
        <w:rPr>
          <w:sz w:val="20"/>
        </w:rPr>
        <w:t xml:space="preserve"> </w:t>
      </w:r>
      <w:r>
        <w:rPr>
          <w:rFonts w:hint="eastAsia"/>
          <w:sz w:val="20"/>
        </w:rPr>
        <w:t xml:space="preserve">parent link and child link are multiplexed in FDM/SDM </w:t>
      </w:r>
      <w:r>
        <w:rPr>
          <w:sz w:val="20"/>
        </w:rPr>
        <w:t>m</w:t>
      </w:r>
      <w:r>
        <w:rPr>
          <w:rFonts w:hint="eastAsia"/>
          <w:sz w:val="20"/>
        </w:rPr>
        <w:t>anner.</w:t>
      </w:r>
      <w:r>
        <w:rPr>
          <w:sz w:val="20"/>
        </w:rPr>
        <w:t xml:space="preserve"> F</w:t>
      </w:r>
      <w:r>
        <w:rPr>
          <w:rFonts w:hint="eastAsia"/>
          <w:sz w:val="20"/>
        </w:rPr>
        <w:t xml:space="preserve">or an IAB node, it is necessary to ensure that the parent link resources scheduled by parent </w:t>
      </w:r>
      <w:r>
        <w:rPr>
          <w:sz w:val="20"/>
        </w:rPr>
        <w:t>DU</w:t>
      </w:r>
      <w:r>
        <w:rPr>
          <w:rFonts w:hint="eastAsia"/>
          <w:sz w:val="20"/>
        </w:rPr>
        <w:t xml:space="preserve"> and child link resources scheduled by IAB-DU are (quasi-)orthogonal in frequency domain or spatial domain in order to avoid mutual interference.</w:t>
      </w:r>
    </w:p>
    <w:p w:rsidR="00E32141" w:rsidRDefault="0087623F">
      <w:pPr>
        <w:spacing w:beforeLines="0" w:afterLines="0" w:line="259" w:lineRule="auto"/>
        <w:rPr>
          <w:sz w:val="20"/>
        </w:rPr>
      </w:pPr>
      <w:r>
        <w:rPr>
          <w:sz w:val="20"/>
        </w:rPr>
        <w:t xml:space="preserve">The semi-static </w:t>
      </w:r>
      <w:r>
        <w:rPr>
          <w:rFonts w:hint="eastAsia"/>
          <w:sz w:val="20"/>
        </w:rPr>
        <w:t xml:space="preserve">frequency </w:t>
      </w:r>
      <w:r>
        <w:rPr>
          <w:sz w:val="20"/>
        </w:rPr>
        <w:t xml:space="preserve">resource partitioning can be implemented </w:t>
      </w:r>
      <w:r>
        <w:rPr>
          <w:rFonts w:hint="eastAsia"/>
          <w:sz w:val="20"/>
        </w:rPr>
        <w:t xml:space="preserve">by </w:t>
      </w:r>
      <w:r>
        <w:rPr>
          <w:sz w:val="20"/>
        </w:rPr>
        <w:t>a centralized approach</w:t>
      </w:r>
      <w:r>
        <w:rPr>
          <w:rFonts w:hint="eastAsia"/>
          <w:sz w:val="20"/>
        </w:rPr>
        <w:t xml:space="preserve"> similar as H/S/NA configuration by CU in the time domain.</w:t>
      </w:r>
    </w:p>
    <w:p w:rsidR="00E32141" w:rsidRDefault="0087623F">
      <w:pPr>
        <w:spacing w:beforeLines="0" w:afterLines="0" w:line="259" w:lineRule="auto"/>
        <w:rPr>
          <w:rFonts w:eastAsiaTheme="minorEastAsia"/>
          <w:b/>
          <w:bCs/>
          <w:i/>
          <w:iCs/>
          <w:sz w:val="20"/>
        </w:rPr>
      </w:pPr>
      <w:r>
        <w:rPr>
          <w:rFonts w:eastAsiaTheme="minorEastAsia" w:hint="eastAsia"/>
          <w:b/>
          <w:bCs/>
          <w:i/>
          <w:iCs/>
          <w:sz w:val="20"/>
        </w:rPr>
        <w:t>Proposal</w:t>
      </w:r>
      <w:r>
        <w:rPr>
          <w:rFonts w:eastAsiaTheme="minorEastAsia"/>
          <w:b/>
          <w:bCs/>
          <w:i/>
          <w:iCs/>
          <w:sz w:val="20"/>
        </w:rPr>
        <w:t xml:space="preserve"> </w:t>
      </w:r>
      <w:r>
        <w:rPr>
          <w:rFonts w:eastAsiaTheme="minorEastAsia" w:hint="eastAsia"/>
          <w:b/>
          <w:bCs/>
          <w:i/>
          <w:iCs/>
          <w:sz w:val="20"/>
        </w:rPr>
        <w:t>1</w:t>
      </w:r>
      <w:r>
        <w:rPr>
          <w:rFonts w:eastAsiaTheme="minorEastAsia"/>
          <w:b/>
          <w:bCs/>
          <w:i/>
          <w:iCs/>
          <w:sz w:val="20"/>
        </w:rPr>
        <w:t>: The semi-static resource partitioning scheme</w:t>
      </w:r>
      <w:r>
        <w:rPr>
          <w:rFonts w:eastAsiaTheme="minorEastAsia" w:hint="eastAsia"/>
          <w:b/>
          <w:bCs/>
          <w:i/>
          <w:iCs/>
          <w:sz w:val="20"/>
        </w:rPr>
        <w:t xml:space="preserve"> similar as</w:t>
      </w:r>
      <w:r>
        <w:rPr>
          <w:rFonts w:eastAsiaTheme="minorEastAsia"/>
          <w:b/>
          <w:bCs/>
          <w:i/>
          <w:iCs/>
          <w:sz w:val="20"/>
        </w:rPr>
        <w:t xml:space="preserve"> Rel-16 mechanism of CU time-domain H/S/NA configuration</w:t>
      </w:r>
      <w:r>
        <w:rPr>
          <w:rFonts w:eastAsiaTheme="minorEastAsia" w:hint="eastAsia"/>
          <w:b/>
          <w:bCs/>
          <w:i/>
          <w:iCs/>
          <w:sz w:val="20"/>
        </w:rPr>
        <w:t xml:space="preserve"> can be a starting point of </w:t>
      </w:r>
      <w:r>
        <w:rPr>
          <w:rFonts w:eastAsiaTheme="minorEastAsia"/>
          <w:b/>
          <w:bCs/>
          <w:i/>
          <w:iCs/>
          <w:sz w:val="20"/>
        </w:rPr>
        <w:t>resource partitioning scheme</w:t>
      </w:r>
      <w:r>
        <w:rPr>
          <w:rFonts w:eastAsiaTheme="minorEastAsia" w:hint="eastAsia"/>
          <w:b/>
          <w:bCs/>
          <w:i/>
          <w:iCs/>
          <w:sz w:val="20"/>
        </w:rPr>
        <w:t xml:space="preserve"> in frequency domain</w:t>
      </w:r>
      <w:r>
        <w:rPr>
          <w:rFonts w:eastAsiaTheme="minorEastAsia"/>
          <w:b/>
          <w:bCs/>
          <w:i/>
          <w:iCs/>
          <w:sz w:val="20"/>
        </w:rPr>
        <w:t>.</w:t>
      </w:r>
    </w:p>
    <w:p w:rsidR="00E32141" w:rsidRDefault="0087623F">
      <w:pPr>
        <w:spacing w:beforeLines="0" w:afterLines="0" w:line="259" w:lineRule="auto"/>
        <w:rPr>
          <w:sz w:val="20"/>
        </w:rPr>
      </w:pPr>
      <w:r>
        <w:rPr>
          <w:rFonts w:hint="eastAsia"/>
          <w:sz w:val="20"/>
        </w:rPr>
        <w:t>For an IAB node, when parent link and child link are multiplexed in TDM manner, IAB-MT or IAB-DU can use the whole bandwidth of a cell. For simultaneous operations of an IAB node with sufficient isolation between MT and DU, overlapping frequency resources</w:t>
      </w:r>
      <w:r>
        <w:rPr>
          <w:sz w:val="20"/>
        </w:rPr>
        <w:t xml:space="preserve"> </w:t>
      </w:r>
      <w:r>
        <w:rPr>
          <w:rFonts w:hint="eastAsia"/>
          <w:sz w:val="20"/>
        </w:rPr>
        <w:t>(i.e. SDM) can be used by IAB node MT and DU in order to increase spectrum efficiency. However, for an IAB node with insufficient isolation between MT and DU, to support simultaneous operation of IAB node</w:t>
      </w:r>
      <w:r>
        <w:rPr>
          <w:sz w:val="20"/>
        </w:rPr>
        <w:t>’</w:t>
      </w:r>
      <w:r>
        <w:rPr>
          <w:rFonts w:hint="eastAsia"/>
          <w:sz w:val="20"/>
        </w:rPr>
        <w:t>s parent link and child link, FDM can be performed. In this case, it is necessary to allocate orthogonal frequency resource for two links to avoid mutual interference. Similar to time domain resource configuration, one resource unit (e.g. RB) in frequency domain can be configured as Hard or NA. Where, Hard means that the corresponding frequency resource is available for the IAB-DU, and NA means opposite, i.e. the corresponding frequency resource is not available for the IAB-DU. In Rel-16, soft DU resources in time domain could be configured to realize the flexible resource sharing between parent link and child link, however, the benefit of supporting soft resource</w:t>
      </w:r>
      <w:r>
        <w:rPr>
          <w:sz w:val="20"/>
        </w:rPr>
        <w:t xml:space="preserve"> configuration </w:t>
      </w:r>
      <w:r>
        <w:rPr>
          <w:rFonts w:hint="eastAsia"/>
          <w:sz w:val="20"/>
        </w:rPr>
        <w:t xml:space="preserve">in frequency domain has not been justified, and support of </w:t>
      </w:r>
      <w:r>
        <w:rPr>
          <w:sz w:val="20"/>
        </w:rPr>
        <w:t>indication of the</w:t>
      </w:r>
      <w:r>
        <w:rPr>
          <w:rFonts w:hint="eastAsia"/>
          <w:sz w:val="20"/>
        </w:rPr>
        <w:t xml:space="preserve"> dynamic </w:t>
      </w:r>
      <w:r>
        <w:rPr>
          <w:sz w:val="20"/>
        </w:rPr>
        <w:t>availability of soft resources</w:t>
      </w:r>
      <w:r>
        <w:rPr>
          <w:rFonts w:hint="eastAsia"/>
          <w:sz w:val="20"/>
        </w:rPr>
        <w:t xml:space="preserve"> in frequency domain could to be seen with a lot of normative works. So whether soft resources in frequency domain could be configured should be FFS.</w:t>
      </w:r>
    </w:p>
    <w:p w:rsidR="00E32141" w:rsidRDefault="0087623F">
      <w:pPr>
        <w:spacing w:beforeLines="0" w:afterLines="0" w:line="259" w:lineRule="auto"/>
        <w:rPr>
          <w:rFonts w:eastAsiaTheme="minorEastAsia"/>
          <w:b/>
          <w:bCs/>
          <w:i/>
          <w:iCs/>
          <w:sz w:val="20"/>
        </w:rPr>
      </w:pPr>
      <w:r>
        <w:rPr>
          <w:rFonts w:eastAsiaTheme="minorEastAsia" w:hint="eastAsia"/>
          <w:b/>
          <w:bCs/>
          <w:i/>
          <w:iCs/>
          <w:sz w:val="20"/>
        </w:rPr>
        <w:t>Proposal</w:t>
      </w:r>
      <w:r>
        <w:rPr>
          <w:rFonts w:eastAsiaTheme="minorEastAsia"/>
          <w:b/>
          <w:bCs/>
          <w:i/>
          <w:iCs/>
          <w:sz w:val="20"/>
        </w:rPr>
        <w:t xml:space="preserve"> </w:t>
      </w:r>
      <w:r>
        <w:rPr>
          <w:rFonts w:eastAsiaTheme="minorEastAsia" w:hint="eastAsia"/>
          <w:b/>
          <w:bCs/>
          <w:i/>
          <w:iCs/>
          <w:sz w:val="20"/>
        </w:rPr>
        <w:t>2</w:t>
      </w:r>
      <w:r>
        <w:rPr>
          <w:rFonts w:eastAsiaTheme="minorEastAsia"/>
          <w:b/>
          <w:bCs/>
          <w:i/>
          <w:iCs/>
          <w:sz w:val="20"/>
        </w:rPr>
        <w:t xml:space="preserve">: </w:t>
      </w:r>
      <w:r>
        <w:rPr>
          <w:rFonts w:eastAsiaTheme="minorEastAsia" w:hint="eastAsia"/>
          <w:b/>
          <w:bCs/>
          <w:i/>
          <w:iCs/>
          <w:sz w:val="20"/>
        </w:rPr>
        <w:t>For r</w:t>
      </w:r>
      <w:r>
        <w:rPr>
          <w:rFonts w:eastAsiaTheme="minorEastAsia"/>
          <w:b/>
          <w:bCs/>
          <w:i/>
          <w:iCs/>
          <w:sz w:val="20"/>
        </w:rPr>
        <w:t xml:space="preserve">esource </w:t>
      </w:r>
      <w:r>
        <w:rPr>
          <w:rFonts w:eastAsiaTheme="minorEastAsia" w:hint="eastAsia"/>
          <w:b/>
          <w:bCs/>
          <w:i/>
          <w:iCs/>
          <w:sz w:val="20"/>
        </w:rPr>
        <w:t>configuration in frequency domain for DU, the following types of frequency resources could be configured for each IAB-DU cell</w:t>
      </w:r>
      <w:r>
        <w:rPr>
          <w:rFonts w:eastAsiaTheme="minorEastAsia"/>
          <w:b/>
          <w:bCs/>
          <w:i/>
          <w:iCs/>
          <w:sz w:val="20"/>
        </w:rPr>
        <w:t>:</w:t>
      </w:r>
    </w:p>
    <w:p w:rsidR="00E32141" w:rsidRDefault="0087623F">
      <w:pPr>
        <w:numPr>
          <w:ilvl w:val="0"/>
          <w:numId w:val="11"/>
        </w:numPr>
        <w:spacing w:beforeLines="0" w:afterLines="0" w:line="259" w:lineRule="auto"/>
        <w:rPr>
          <w:rFonts w:eastAsiaTheme="minorEastAsia"/>
          <w:b/>
          <w:bCs/>
          <w:i/>
          <w:iCs/>
          <w:sz w:val="20"/>
        </w:rPr>
      </w:pPr>
      <w:r>
        <w:rPr>
          <w:rFonts w:eastAsiaTheme="minorEastAsia"/>
          <w:b/>
          <w:bCs/>
          <w:i/>
          <w:iCs/>
          <w:sz w:val="20"/>
        </w:rPr>
        <w:t xml:space="preserve">Hard: The corresponding </w:t>
      </w:r>
      <w:r>
        <w:rPr>
          <w:rFonts w:eastAsiaTheme="minorEastAsia" w:hint="eastAsia"/>
          <w:b/>
          <w:bCs/>
          <w:i/>
          <w:iCs/>
          <w:sz w:val="20"/>
        </w:rPr>
        <w:t xml:space="preserve">frequency </w:t>
      </w:r>
      <w:r>
        <w:rPr>
          <w:rFonts w:eastAsiaTheme="minorEastAsia"/>
          <w:b/>
          <w:bCs/>
          <w:i/>
          <w:iCs/>
          <w:sz w:val="20"/>
        </w:rPr>
        <w:t xml:space="preserve">resource is available for the </w:t>
      </w:r>
      <w:r>
        <w:rPr>
          <w:rFonts w:eastAsiaTheme="minorEastAsia" w:hint="eastAsia"/>
          <w:b/>
          <w:bCs/>
          <w:i/>
          <w:iCs/>
          <w:sz w:val="20"/>
        </w:rPr>
        <w:t>IAB-</w:t>
      </w:r>
      <w:r>
        <w:rPr>
          <w:rFonts w:eastAsiaTheme="minorEastAsia"/>
          <w:b/>
          <w:bCs/>
          <w:i/>
          <w:iCs/>
          <w:sz w:val="20"/>
        </w:rPr>
        <w:t>DU</w:t>
      </w:r>
    </w:p>
    <w:p w:rsidR="00E32141" w:rsidRDefault="0087623F">
      <w:pPr>
        <w:numPr>
          <w:ilvl w:val="0"/>
          <w:numId w:val="11"/>
        </w:numPr>
        <w:spacing w:beforeLines="0" w:afterLines="0" w:line="259" w:lineRule="auto"/>
        <w:rPr>
          <w:rFonts w:eastAsiaTheme="minorEastAsia"/>
          <w:b/>
          <w:bCs/>
          <w:i/>
          <w:iCs/>
          <w:sz w:val="20"/>
        </w:rPr>
      </w:pPr>
      <w:r>
        <w:rPr>
          <w:rFonts w:eastAsiaTheme="minorEastAsia" w:hint="eastAsia"/>
          <w:b/>
          <w:bCs/>
          <w:i/>
          <w:iCs/>
          <w:sz w:val="20"/>
        </w:rPr>
        <w:t xml:space="preserve">NA: </w:t>
      </w:r>
      <w:r>
        <w:rPr>
          <w:rFonts w:eastAsiaTheme="minorEastAsia"/>
          <w:b/>
          <w:bCs/>
          <w:i/>
          <w:iCs/>
          <w:sz w:val="20"/>
        </w:rPr>
        <w:t xml:space="preserve">The corresponding </w:t>
      </w:r>
      <w:r>
        <w:rPr>
          <w:rFonts w:eastAsiaTheme="minorEastAsia" w:hint="eastAsia"/>
          <w:b/>
          <w:bCs/>
          <w:i/>
          <w:iCs/>
          <w:sz w:val="20"/>
        </w:rPr>
        <w:t xml:space="preserve">frequency </w:t>
      </w:r>
      <w:r>
        <w:rPr>
          <w:rFonts w:eastAsiaTheme="minorEastAsia"/>
          <w:b/>
          <w:bCs/>
          <w:i/>
          <w:iCs/>
          <w:sz w:val="20"/>
        </w:rPr>
        <w:t xml:space="preserve">resource is </w:t>
      </w:r>
      <w:r>
        <w:rPr>
          <w:rFonts w:eastAsiaTheme="minorEastAsia" w:hint="eastAsia"/>
          <w:b/>
          <w:bCs/>
          <w:i/>
          <w:iCs/>
          <w:sz w:val="20"/>
        </w:rPr>
        <w:t>not</w:t>
      </w:r>
      <w:r>
        <w:rPr>
          <w:rFonts w:eastAsiaTheme="minorEastAsia"/>
          <w:b/>
          <w:bCs/>
          <w:i/>
          <w:iCs/>
          <w:sz w:val="20"/>
        </w:rPr>
        <w:t xml:space="preserve"> available for the </w:t>
      </w:r>
      <w:r>
        <w:rPr>
          <w:rFonts w:eastAsiaTheme="minorEastAsia" w:hint="eastAsia"/>
          <w:b/>
          <w:bCs/>
          <w:i/>
          <w:iCs/>
          <w:sz w:val="20"/>
        </w:rPr>
        <w:t>IAB-</w:t>
      </w:r>
      <w:r>
        <w:rPr>
          <w:rFonts w:eastAsiaTheme="minorEastAsia"/>
          <w:b/>
          <w:bCs/>
          <w:i/>
          <w:iCs/>
          <w:sz w:val="20"/>
        </w:rPr>
        <w:t>DU</w:t>
      </w:r>
    </w:p>
    <w:p w:rsidR="00E32141" w:rsidRDefault="0087623F">
      <w:pPr>
        <w:numPr>
          <w:ilvl w:val="0"/>
          <w:numId w:val="11"/>
        </w:numPr>
        <w:spacing w:beforeLines="0" w:afterLines="0" w:line="259" w:lineRule="auto"/>
        <w:rPr>
          <w:rFonts w:eastAsiaTheme="minorEastAsia"/>
          <w:b/>
          <w:bCs/>
          <w:i/>
          <w:iCs/>
          <w:sz w:val="20"/>
        </w:rPr>
      </w:pPr>
      <w:r>
        <w:rPr>
          <w:rFonts w:eastAsiaTheme="minorEastAsia" w:hint="eastAsia"/>
          <w:b/>
          <w:bCs/>
          <w:i/>
          <w:iCs/>
          <w:sz w:val="20"/>
        </w:rPr>
        <w:t>FFS: Whether Soft frequency resource should be configured.</w:t>
      </w:r>
    </w:p>
    <w:p w:rsidR="00E32141" w:rsidRDefault="0087623F">
      <w:pPr>
        <w:spacing w:beforeLines="0" w:afterLines="0" w:line="259" w:lineRule="auto"/>
        <w:rPr>
          <w:sz w:val="20"/>
        </w:rPr>
      </w:pPr>
      <w:r>
        <w:rPr>
          <w:rFonts w:cs="Times" w:hint="eastAsia"/>
          <w:sz w:val="20"/>
        </w:rPr>
        <w:t>Similar to Soft/NA time resource that can be used by IAB-DU to transmit/receive c</w:t>
      </w:r>
      <w:r>
        <w:rPr>
          <w:rFonts w:eastAsia="Calibri" w:cs="Times"/>
          <w:sz w:val="20"/>
        </w:rPr>
        <w:t>ell-specific/semi-static signals and channels</w:t>
      </w:r>
      <w:r>
        <w:rPr>
          <w:rFonts w:cs="Times" w:hint="eastAsia"/>
          <w:sz w:val="20"/>
        </w:rPr>
        <w:t xml:space="preserve"> (such as SSB transmission, periodic CSI-RS, PRACH, SR etc.), frequency resource partitioning should not limit transmission/reception of c</w:t>
      </w:r>
      <w:r>
        <w:rPr>
          <w:rFonts w:eastAsia="Calibri" w:cs="Times"/>
          <w:sz w:val="20"/>
        </w:rPr>
        <w:t>ell-specific/semi-static signals and channels</w:t>
      </w:r>
      <w:r>
        <w:rPr>
          <w:rFonts w:cs="Times" w:hint="eastAsia"/>
          <w:sz w:val="20"/>
        </w:rPr>
        <w:t>.</w:t>
      </w:r>
    </w:p>
    <w:p w:rsidR="00E32141" w:rsidRDefault="0087623F">
      <w:pPr>
        <w:spacing w:beforeLines="0" w:afterLines="0" w:line="259" w:lineRule="auto"/>
        <w:rPr>
          <w:rFonts w:cs="Times"/>
          <w:color w:val="000000"/>
          <w:sz w:val="20"/>
        </w:rPr>
      </w:pPr>
      <w:r>
        <w:rPr>
          <w:rFonts w:eastAsiaTheme="minorEastAsia" w:hint="eastAsia"/>
          <w:b/>
          <w:bCs/>
          <w:i/>
          <w:iCs/>
          <w:sz w:val="20"/>
        </w:rPr>
        <w:t>Proposal</w:t>
      </w:r>
      <w:r>
        <w:rPr>
          <w:rFonts w:eastAsiaTheme="minorEastAsia"/>
          <w:b/>
          <w:bCs/>
          <w:i/>
          <w:iCs/>
          <w:sz w:val="20"/>
        </w:rPr>
        <w:t xml:space="preserve"> </w:t>
      </w:r>
      <w:r>
        <w:rPr>
          <w:rFonts w:eastAsiaTheme="minorEastAsia" w:hint="eastAsia"/>
          <w:b/>
          <w:bCs/>
          <w:i/>
          <w:iCs/>
          <w:sz w:val="20"/>
        </w:rPr>
        <w:t>3</w:t>
      </w:r>
      <w:r>
        <w:rPr>
          <w:rFonts w:eastAsiaTheme="minorEastAsia"/>
          <w:b/>
          <w:bCs/>
          <w:i/>
          <w:iCs/>
          <w:sz w:val="20"/>
        </w:rPr>
        <w:t xml:space="preserve">: </w:t>
      </w:r>
      <w:r>
        <w:rPr>
          <w:rFonts w:eastAsiaTheme="minorEastAsia" w:hint="eastAsia"/>
          <w:b/>
          <w:bCs/>
          <w:i/>
          <w:iCs/>
          <w:sz w:val="20"/>
        </w:rPr>
        <w:t>A frequency resource is equivalent to being configured as hard if it is used to transmit or receive c</w:t>
      </w:r>
      <w:r>
        <w:rPr>
          <w:rFonts w:eastAsiaTheme="minorEastAsia"/>
          <w:b/>
          <w:bCs/>
          <w:i/>
          <w:iCs/>
          <w:sz w:val="20"/>
        </w:rPr>
        <w:t>ell-specific/semi-static signals and channels</w:t>
      </w:r>
      <w:r>
        <w:rPr>
          <w:rFonts w:eastAsiaTheme="minorEastAsia" w:hint="eastAsia"/>
          <w:b/>
          <w:bCs/>
          <w:i/>
          <w:iCs/>
          <w:sz w:val="20"/>
        </w:rPr>
        <w:t xml:space="preserve"> in the frequency resource by DU</w:t>
      </w:r>
      <w:r>
        <w:rPr>
          <w:rFonts w:eastAsiaTheme="minorEastAsia"/>
          <w:b/>
          <w:bCs/>
          <w:i/>
          <w:iCs/>
          <w:sz w:val="20"/>
        </w:rPr>
        <w:t>.</w:t>
      </w:r>
    </w:p>
    <w:p w:rsidR="00E32141" w:rsidRDefault="0087623F">
      <w:pPr>
        <w:pStyle w:val="2"/>
        <w:spacing w:before="120" w:after="120"/>
        <w:ind w:right="210"/>
        <w:rPr>
          <w:rFonts w:ascii="Arial" w:hAnsi="Arial" w:cs="Arial"/>
        </w:rPr>
      </w:pPr>
      <w:r>
        <w:rPr>
          <w:rFonts w:ascii="Arial" w:hAnsi="Arial" w:cs="Arial" w:hint="eastAsia"/>
        </w:rPr>
        <w:t>2.2 Half duplexing</w:t>
      </w:r>
      <w:r>
        <w:rPr>
          <w:rFonts w:ascii="Arial" w:hAnsi="Arial" w:cs="Arial"/>
        </w:rPr>
        <w:t xml:space="preserve"> </w:t>
      </w:r>
      <w:r>
        <w:rPr>
          <w:rFonts w:ascii="Arial" w:hAnsi="Arial" w:cs="Arial" w:hint="eastAsia"/>
        </w:rPr>
        <w:t>(Multiplexing Case A/B)</w:t>
      </w:r>
    </w:p>
    <w:p w:rsidR="00E32141" w:rsidRDefault="0087623F">
      <w:pPr>
        <w:spacing w:beforeLines="0" w:afterLines="0" w:line="259" w:lineRule="auto"/>
        <w:rPr>
          <w:sz w:val="20"/>
        </w:rPr>
      </w:pPr>
      <w:r>
        <w:rPr>
          <w:rFonts w:hint="eastAsia"/>
          <w:sz w:val="20"/>
        </w:rPr>
        <w:t>Both single panel and multi-panel IAB nodes can support FDM between parent link and child link for multiplexing Case A/B.</w:t>
      </w:r>
    </w:p>
    <w:p w:rsidR="00E32141" w:rsidRDefault="0087623F">
      <w:pPr>
        <w:spacing w:beforeLines="0" w:afterLines="0" w:line="259" w:lineRule="auto"/>
        <w:rPr>
          <w:sz w:val="20"/>
        </w:rPr>
      </w:pPr>
      <w:r>
        <w:rPr>
          <w:rFonts w:hint="eastAsia"/>
          <w:sz w:val="20"/>
        </w:rPr>
        <w:t>For a multi-panel IAB node, it is feasible to use different analog beams to support SDM between parent link and child link because in general, the multi-panel IAB node can achieve better spatial isolation.</w:t>
      </w:r>
    </w:p>
    <w:p w:rsidR="00E32141" w:rsidRDefault="0087623F">
      <w:pPr>
        <w:spacing w:beforeLines="0" w:afterLines="0" w:line="259" w:lineRule="auto"/>
        <w:rPr>
          <w:sz w:val="20"/>
        </w:rPr>
      </w:pPr>
      <w:r>
        <w:rPr>
          <w:rFonts w:hint="eastAsia"/>
          <w:sz w:val="20"/>
        </w:rPr>
        <w:t>However, for a single panel IAB node, it is hard to use different analog beams to support SDM between parent link and child link due to insufficient space isolation or only supporting single analog beam at a time. Therefore, for single panel IAB node if parent link and child link are multiplexed in SDM manner, digital beams must be used, and the schedul</w:t>
      </w:r>
      <w:r>
        <w:rPr>
          <w:sz w:val="20"/>
        </w:rPr>
        <w:t>ed</w:t>
      </w:r>
      <w:r>
        <w:rPr>
          <w:rFonts w:hint="eastAsia"/>
          <w:sz w:val="20"/>
        </w:rPr>
        <w:t xml:space="preserve"> resources </w:t>
      </w:r>
      <w:r>
        <w:rPr>
          <w:sz w:val="20"/>
        </w:rPr>
        <w:t>for</w:t>
      </w:r>
      <w:r>
        <w:rPr>
          <w:rFonts w:hint="eastAsia"/>
          <w:sz w:val="20"/>
        </w:rPr>
        <w:t xml:space="preserve"> IAB-MT and IAB-DU should be aligned in the time domain. Otherwise, it is difficult to ensure that DMRS ports for two links are orthogonal in the case of digital beams. If not orthogonal, it will lead to serious mutual </w:t>
      </w:r>
      <w:r>
        <w:rPr>
          <w:rFonts w:hint="eastAsia"/>
          <w:sz w:val="20"/>
        </w:rPr>
        <w:lastRenderedPageBreak/>
        <w:t xml:space="preserve">interference between parent link and child link. However, above requirements for scheduled resources alignment is difficult to meet because the resources of adjacent hops are scheduled by different nodes (i.e. for an IAB node, its parent link is scheduled by parent node, while its child link is scheduled by itself) and </w:t>
      </w:r>
      <w:r>
        <w:rPr>
          <w:sz w:val="20"/>
        </w:rPr>
        <w:t>it is not feasible to let IAB nodes to exchange scheduling information with each other.</w:t>
      </w:r>
    </w:p>
    <w:p w:rsidR="00E32141" w:rsidRDefault="0087623F">
      <w:pPr>
        <w:spacing w:beforeLines="0" w:afterLines="0" w:line="259" w:lineRule="auto"/>
        <w:rPr>
          <w:sz w:val="20"/>
        </w:rPr>
      </w:pPr>
      <w:r>
        <w:rPr>
          <w:rFonts w:eastAsiaTheme="minorEastAsia" w:hint="eastAsia"/>
          <w:b/>
          <w:bCs/>
          <w:i/>
          <w:iCs/>
          <w:sz w:val="20"/>
        </w:rPr>
        <w:t>Proposal</w:t>
      </w:r>
      <w:r>
        <w:rPr>
          <w:rFonts w:eastAsiaTheme="minorEastAsia"/>
          <w:b/>
          <w:bCs/>
          <w:i/>
          <w:iCs/>
          <w:sz w:val="20"/>
        </w:rPr>
        <w:t xml:space="preserve"> </w:t>
      </w:r>
      <w:r>
        <w:rPr>
          <w:rFonts w:eastAsiaTheme="minorEastAsia" w:hint="eastAsia"/>
          <w:b/>
          <w:bCs/>
          <w:i/>
          <w:iCs/>
          <w:sz w:val="20"/>
        </w:rPr>
        <w:t>4</w:t>
      </w:r>
      <w:r>
        <w:rPr>
          <w:rFonts w:eastAsiaTheme="minorEastAsia"/>
          <w:b/>
          <w:bCs/>
          <w:i/>
          <w:iCs/>
          <w:sz w:val="20"/>
        </w:rPr>
        <w:t xml:space="preserve">: </w:t>
      </w:r>
      <w:r>
        <w:rPr>
          <w:rFonts w:eastAsiaTheme="minorEastAsia" w:hint="eastAsia"/>
          <w:b/>
          <w:bCs/>
          <w:i/>
          <w:iCs/>
          <w:sz w:val="20"/>
        </w:rPr>
        <w:t xml:space="preserve">For multiplexing Case A/B, study of multi-panel IAB nodes operating in unpaired spectrum should be </w:t>
      </w:r>
      <w:r>
        <w:rPr>
          <w:rFonts w:eastAsiaTheme="minorEastAsia"/>
          <w:b/>
          <w:bCs/>
          <w:i/>
          <w:iCs/>
          <w:sz w:val="20"/>
        </w:rPr>
        <w:t>prioritize</w:t>
      </w:r>
      <w:r>
        <w:rPr>
          <w:rFonts w:eastAsiaTheme="minorEastAsia" w:hint="eastAsia"/>
          <w:b/>
          <w:bCs/>
          <w:i/>
          <w:iCs/>
          <w:sz w:val="20"/>
        </w:rPr>
        <w:t xml:space="preserve">d </w:t>
      </w:r>
      <w:r>
        <w:rPr>
          <w:rFonts w:eastAsiaTheme="minorEastAsia"/>
          <w:b/>
          <w:bCs/>
          <w:i/>
          <w:iCs/>
          <w:sz w:val="20"/>
        </w:rPr>
        <w:t xml:space="preserve">in </w:t>
      </w:r>
      <w:r>
        <w:rPr>
          <w:rFonts w:eastAsiaTheme="minorEastAsia" w:hint="eastAsia"/>
          <w:b/>
          <w:bCs/>
          <w:i/>
          <w:iCs/>
          <w:sz w:val="20"/>
        </w:rPr>
        <w:t>Rel-17</w:t>
      </w:r>
      <w:r>
        <w:rPr>
          <w:rFonts w:eastAsiaTheme="minorEastAsia"/>
          <w:b/>
          <w:bCs/>
          <w:i/>
          <w:iCs/>
          <w:sz w:val="20"/>
        </w:rPr>
        <w:t>.</w:t>
      </w:r>
    </w:p>
    <w:p w:rsidR="00E32141" w:rsidRDefault="0087623F">
      <w:pPr>
        <w:pStyle w:val="2"/>
        <w:spacing w:before="120" w:after="120"/>
        <w:ind w:right="210"/>
        <w:rPr>
          <w:rFonts w:ascii="Arial" w:hAnsi="Arial" w:cs="Arial"/>
        </w:rPr>
      </w:pPr>
      <w:r>
        <w:rPr>
          <w:rFonts w:ascii="Arial" w:hAnsi="Arial" w:cs="Arial" w:hint="eastAsia"/>
        </w:rPr>
        <w:t>2.3 Full duplexing</w:t>
      </w:r>
      <w:r>
        <w:rPr>
          <w:rFonts w:ascii="Arial" w:hAnsi="Arial" w:cs="Arial"/>
        </w:rPr>
        <w:t xml:space="preserve"> </w:t>
      </w:r>
      <w:r>
        <w:rPr>
          <w:rFonts w:ascii="Arial" w:hAnsi="Arial" w:cs="Arial" w:hint="eastAsia"/>
        </w:rPr>
        <w:t>(Multiplexing Case C/D)</w:t>
      </w:r>
    </w:p>
    <w:p w:rsidR="00E32141" w:rsidRDefault="0087623F">
      <w:pPr>
        <w:spacing w:beforeLines="0" w:afterLines="0" w:line="259" w:lineRule="auto"/>
        <w:rPr>
          <w:sz w:val="20"/>
        </w:rPr>
      </w:pPr>
      <w:r>
        <w:rPr>
          <w:sz w:val="20"/>
        </w:rPr>
        <w:t xml:space="preserve">For full-duplex operation (i.e., simultaneous DU-Tx/MT-Rx and simultaneous DU-Rx/MT-Tx), one traditional issue still exists: due to the same node being the transmitter and receiver at the same time, if the signal transmitted from the node itself (called signal A) gets looped back into receiver of the same node along with a signal received from a remote IAB node (called signal B), the signal A in its analog form is much stronger than the signal B. Then regardless whether the IAB node is equipped with AGC at receiver side, the limited number of digitizing bits in the analog-to-digital converter (ADC) would make it difficult to digitize both signal A and signal B with sufficient granularity upon the much weaker signal B. Any baseband technology can hardly solve this issue, which means RAN1 can do little for the solution. On the other hand, if it is feasible to separate signal A and signal B in their analog forms (before entering ADC), there is no interaction (such as relating to “FDM/SDM overlapping”) between the two signals. Thus there is no need for RAN1 to work out any solution regarding to FDM/SDM. </w:t>
      </w:r>
    </w:p>
    <w:p w:rsidR="00E32141" w:rsidRDefault="0087623F">
      <w:pPr>
        <w:spacing w:before="120" w:after="120"/>
        <w:rPr>
          <w:b/>
          <w:i/>
          <w:sz w:val="20"/>
        </w:rPr>
      </w:pPr>
      <w:r>
        <w:rPr>
          <w:b/>
          <w:i/>
          <w:sz w:val="20"/>
        </w:rPr>
        <w:t xml:space="preserve">Observation 1: For simultaneous DU-Tx/MT-Rx and simultaneous DU-Rx/MT-Tx, although RAN4 may need to work on the corresponding requirements (up to RAN4), the two full-duplex operations can be considered as implementation issues from RAN1 perspective. </w:t>
      </w:r>
    </w:p>
    <w:p w:rsidR="00E32141" w:rsidRDefault="0087623F">
      <w:pPr>
        <w:pStyle w:val="1"/>
        <w:spacing w:before="120" w:after="120"/>
        <w:ind w:left="0"/>
        <w:rPr>
          <w:rFonts w:eastAsia="宋体"/>
        </w:rPr>
      </w:pPr>
      <w:bookmarkStart w:id="0" w:name="_Toc30716"/>
      <w:bookmarkStart w:id="1" w:name="_Toc8335"/>
      <w:bookmarkStart w:id="2" w:name="_Toc19141"/>
      <w:bookmarkEnd w:id="0"/>
      <w:bookmarkEnd w:id="1"/>
      <w:bookmarkEnd w:id="2"/>
      <w:r>
        <w:rPr>
          <w:rFonts w:eastAsia="宋体" w:hint="eastAsia"/>
        </w:rPr>
        <w:t>Conclusion</w:t>
      </w:r>
    </w:p>
    <w:p w:rsidR="00E32141" w:rsidRDefault="0087623F">
      <w:pPr>
        <w:tabs>
          <w:tab w:val="left" w:pos="2520"/>
        </w:tabs>
        <w:spacing w:before="120" w:after="120"/>
        <w:rPr>
          <w:sz w:val="20"/>
        </w:rPr>
      </w:pPr>
      <w:r>
        <w:rPr>
          <w:rFonts w:hint="eastAsia"/>
          <w:sz w:val="20"/>
        </w:rPr>
        <w:t>According to the discussion above, we provide the following observation and proposal</w:t>
      </w:r>
      <w:r>
        <w:rPr>
          <w:sz w:val="20"/>
        </w:rPr>
        <w:t>s</w:t>
      </w:r>
      <w:r>
        <w:rPr>
          <w:rFonts w:hint="eastAsia"/>
          <w:sz w:val="20"/>
        </w:rPr>
        <w:t xml:space="preserve"> on resource multiplexing of IAB:</w:t>
      </w:r>
    </w:p>
    <w:p w:rsidR="00E32141" w:rsidRDefault="0087623F">
      <w:pPr>
        <w:spacing w:beforeLines="0" w:afterLines="0" w:line="259" w:lineRule="auto"/>
        <w:rPr>
          <w:rFonts w:eastAsiaTheme="minorEastAsia"/>
          <w:b/>
          <w:bCs/>
          <w:i/>
          <w:iCs/>
          <w:sz w:val="20"/>
        </w:rPr>
      </w:pPr>
      <w:r>
        <w:rPr>
          <w:rFonts w:eastAsiaTheme="minorEastAsia" w:hint="eastAsia"/>
          <w:b/>
          <w:bCs/>
          <w:i/>
          <w:iCs/>
          <w:sz w:val="20"/>
        </w:rPr>
        <w:t>Proposal</w:t>
      </w:r>
      <w:r>
        <w:rPr>
          <w:rFonts w:eastAsiaTheme="minorEastAsia"/>
          <w:b/>
          <w:bCs/>
          <w:i/>
          <w:iCs/>
          <w:sz w:val="20"/>
        </w:rPr>
        <w:t xml:space="preserve"> </w:t>
      </w:r>
      <w:r>
        <w:rPr>
          <w:rFonts w:eastAsiaTheme="minorEastAsia" w:hint="eastAsia"/>
          <w:b/>
          <w:bCs/>
          <w:i/>
          <w:iCs/>
          <w:sz w:val="20"/>
        </w:rPr>
        <w:t>1</w:t>
      </w:r>
      <w:r>
        <w:rPr>
          <w:rFonts w:eastAsiaTheme="minorEastAsia"/>
          <w:b/>
          <w:bCs/>
          <w:i/>
          <w:iCs/>
          <w:sz w:val="20"/>
        </w:rPr>
        <w:t>: The semi-static resource partitioning scheme</w:t>
      </w:r>
      <w:r>
        <w:rPr>
          <w:rFonts w:eastAsiaTheme="minorEastAsia" w:hint="eastAsia"/>
          <w:b/>
          <w:bCs/>
          <w:i/>
          <w:iCs/>
          <w:sz w:val="20"/>
        </w:rPr>
        <w:t xml:space="preserve"> similar as</w:t>
      </w:r>
      <w:r>
        <w:rPr>
          <w:rFonts w:eastAsiaTheme="minorEastAsia"/>
          <w:b/>
          <w:bCs/>
          <w:i/>
          <w:iCs/>
          <w:sz w:val="20"/>
        </w:rPr>
        <w:t xml:space="preserve"> Rel-16 mechanism of CU time-domain H/S/NA configuration</w:t>
      </w:r>
      <w:r>
        <w:rPr>
          <w:rFonts w:eastAsiaTheme="minorEastAsia" w:hint="eastAsia"/>
          <w:b/>
          <w:bCs/>
          <w:i/>
          <w:iCs/>
          <w:sz w:val="20"/>
        </w:rPr>
        <w:t xml:space="preserve"> can be a starting point of </w:t>
      </w:r>
      <w:r>
        <w:rPr>
          <w:rFonts w:eastAsiaTheme="minorEastAsia"/>
          <w:b/>
          <w:bCs/>
          <w:i/>
          <w:iCs/>
          <w:sz w:val="20"/>
        </w:rPr>
        <w:t>resource partitioning scheme</w:t>
      </w:r>
      <w:r>
        <w:rPr>
          <w:rFonts w:eastAsiaTheme="minorEastAsia" w:hint="eastAsia"/>
          <w:b/>
          <w:bCs/>
          <w:i/>
          <w:iCs/>
          <w:sz w:val="20"/>
        </w:rPr>
        <w:t xml:space="preserve"> in frequency domain</w:t>
      </w:r>
      <w:r>
        <w:rPr>
          <w:rFonts w:eastAsiaTheme="minorEastAsia"/>
          <w:b/>
          <w:bCs/>
          <w:i/>
          <w:iCs/>
          <w:sz w:val="20"/>
        </w:rPr>
        <w:t>.</w:t>
      </w:r>
    </w:p>
    <w:p w:rsidR="00E32141" w:rsidRDefault="0087623F">
      <w:pPr>
        <w:spacing w:beforeLines="0" w:afterLines="0" w:line="259" w:lineRule="auto"/>
        <w:rPr>
          <w:rFonts w:eastAsiaTheme="minorEastAsia"/>
          <w:b/>
          <w:bCs/>
          <w:i/>
          <w:iCs/>
          <w:sz w:val="20"/>
        </w:rPr>
      </w:pPr>
      <w:r>
        <w:rPr>
          <w:rFonts w:eastAsiaTheme="minorEastAsia" w:hint="eastAsia"/>
          <w:b/>
          <w:bCs/>
          <w:i/>
          <w:iCs/>
          <w:sz w:val="20"/>
        </w:rPr>
        <w:t>Proposal</w:t>
      </w:r>
      <w:r>
        <w:rPr>
          <w:rFonts w:eastAsiaTheme="minorEastAsia"/>
          <w:b/>
          <w:bCs/>
          <w:i/>
          <w:iCs/>
          <w:sz w:val="20"/>
        </w:rPr>
        <w:t xml:space="preserve"> </w:t>
      </w:r>
      <w:r>
        <w:rPr>
          <w:rFonts w:eastAsiaTheme="minorEastAsia" w:hint="eastAsia"/>
          <w:b/>
          <w:bCs/>
          <w:i/>
          <w:iCs/>
          <w:sz w:val="20"/>
        </w:rPr>
        <w:t>2</w:t>
      </w:r>
      <w:r>
        <w:rPr>
          <w:rFonts w:eastAsiaTheme="minorEastAsia"/>
          <w:b/>
          <w:bCs/>
          <w:i/>
          <w:iCs/>
          <w:sz w:val="20"/>
        </w:rPr>
        <w:t xml:space="preserve">: </w:t>
      </w:r>
      <w:r>
        <w:rPr>
          <w:rFonts w:eastAsiaTheme="minorEastAsia" w:hint="eastAsia"/>
          <w:b/>
          <w:bCs/>
          <w:i/>
          <w:iCs/>
          <w:sz w:val="20"/>
        </w:rPr>
        <w:t>For r</w:t>
      </w:r>
      <w:r>
        <w:rPr>
          <w:rFonts w:eastAsiaTheme="minorEastAsia"/>
          <w:b/>
          <w:bCs/>
          <w:i/>
          <w:iCs/>
          <w:sz w:val="20"/>
        </w:rPr>
        <w:t xml:space="preserve">esource </w:t>
      </w:r>
      <w:r>
        <w:rPr>
          <w:rFonts w:eastAsiaTheme="minorEastAsia" w:hint="eastAsia"/>
          <w:b/>
          <w:bCs/>
          <w:i/>
          <w:iCs/>
          <w:sz w:val="20"/>
        </w:rPr>
        <w:t>configuration in frequency domain for DU, the following types of frequency resources could be configured for each IAB-DU cell</w:t>
      </w:r>
      <w:r>
        <w:rPr>
          <w:rFonts w:eastAsiaTheme="minorEastAsia"/>
          <w:b/>
          <w:bCs/>
          <w:i/>
          <w:iCs/>
          <w:sz w:val="20"/>
        </w:rPr>
        <w:t>:</w:t>
      </w:r>
    </w:p>
    <w:p w:rsidR="00E32141" w:rsidRDefault="0087623F">
      <w:pPr>
        <w:numPr>
          <w:ilvl w:val="0"/>
          <w:numId w:val="11"/>
        </w:numPr>
        <w:spacing w:beforeLines="0" w:afterLines="0" w:line="259" w:lineRule="auto"/>
        <w:rPr>
          <w:rFonts w:eastAsiaTheme="minorEastAsia"/>
          <w:b/>
          <w:bCs/>
          <w:i/>
          <w:iCs/>
          <w:sz w:val="20"/>
        </w:rPr>
      </w:pPr>
      <w:r>
        <w:rPr>
          <w:rFonts w:eastAsiaTheme="minorEastAsia"/>
          <w:b/>
          <w:bCs/>
          <w:i/>
          <w:iCs/>
          <w:sz w:val="20"/>
        </w:rPr>
        <w:t xml:space="preserve">Hard: The corresponding </w:t>
      </w:r>
      <w:r>
        <w:rPr>
          <w:rFonts w:eastAsiaTheme="minorEastAsia" w:hint="eastAsia"/>
          <w:b/>
          <w:bCs/>
          <w:i/>
          <w:iCs/>
          <w:sz w:val="20"/>
        </w:rPr>
        <w:t xml:space="preserve">frequency </w:t>
      </w:r>
      <w:r>
        <w:rPr>
          <w:rFonts w:eastAsiaTheme="minorEastAsia"/>
          <w:b/>
          <w:bCs/>
          <w:i/>
          <w:iCs/>
          <w:sz w:val="20"/>
        </w:rPr>
        <w:t xml:space="preserve">resource is available for the </w:t>
      </w:r>
      <w:r>
        <w:rPr>
          <w:rFonts w:eastAsiaTheme="minorEastAsia" w:hint="eastAsia"/>
          <w:b/>
          <w:bCs/>
          <w:i/>
          <w:iCs/>
          <w:sz w:val="20"/>
        </w:rPr>
        <w:t>IAB-</w:t>
      </w:r>
      <w:r>
        <w:rPr>
          <w:rFonts w:eastAsiaTheme="minorEastAsia"/>
          <w:b/>
          <w:bCs/>
          <w:i/>
          <w:iCs/>
          <w:sz w:val="20"/>
        </w:rPr>
        <w:t>DU</w:t>
      </w:r>
    </w:p>
    <w:p w:rsidR="00E32141" w:rsidRDefault="0087623F">
      <w:pPr>
        <w:numPr>
          <w:ilvl w:val="0"/>
          <w:numId w:val="11"/>
        </w:numPr>
        <w:spacing w:beforeLines="0" w:afterLines="0" w:line="259" w:lineRule="auto"/>
        <w:rPr>
          <w:rFonts w:eastAsiaTheme="minorEastAsia"/>
          <w:b/>
          <w:bCs/>
          <w:i/>
          <w:iCs/>
          <w:sz w:val="20"/>
        </w:rPr>
      </w:pPr>
      <w:r>
        <w:rPr>
          <w:rFonts w:eastAsiaTheme="minorEastAsia" w:hint="eastAsia"/>
          <w:b/>
          <w:bCs/>
          <w:i/>
          <w:iCs/>
          <w:sz w:val="20"/>
        </w:rPr>
        <w:t xml:space="preserve">NA: </w:t>
      </w:r>
      <w:r>
        <w:rPr>
          <w:rFonts w:eastAsiaTheme="minorEastAsia"/>
          <w:b/>
          <w:bCs/>
          <w:i/>
          <w:iCs/>
          <w:sz w:val="20"/>
        </w:rPr>
        <w:t xml:space="preserve">The corresponding </w:t>
      </w:r>
      <w:r>
        <w:rPr>
          <w:rFonts w:eastAsiaTheme="minorEastAsia" w:hint="eastAsia"/>
          <w:b/>
          <w:bCs/>
          <w:i/>
          <w:iCs/>
          <w:sz w:val="20"/>
        </w:rPr>
        <w:t xml:space="preserve">frequency </w:t>
      </w:r>
      <w:r>
        <w:rPr>
          <w:rFonts w:eastAsiaTheme="minorEastAsia"/>
          <w:b/>
          <w:bCs/>
          <w:i/>
          <w:iCs/>
          <w:sz w:val="20"/>
        </w:rPr>
        <w:t xml:space="preserve">resource is </w:t>
      </w:r>
      <w:r>
        <w:rPr>
          <w:rFonts w:eastAsiaTheme="minorEastAsia" w:hint="eastAsia"/>
          <w:b/>
          <w:bCs/>
          <w:i/>
          <w:iCs/>
          <w:sz w:val="20"/>
        </w:rPr>
        <w:t>not</w:t>
      </w:r>
      <w:r>
        <w:rPr>
          <w:rFonts w:eastAsiaTheme="minorEastAsia"/>
          <w:b/>
          <w:bCs/>
          <w:i/>
          <w:iCs/>
          <w:sz w:val="20"/>
        </w:rPr>
        <w:t xml:space="preserve"> available for the </w:t>
      </w:r>
      <w:r>
        <w:rPr>
          <w:rFonts w:eastAsiaTheme="minorEastAsia" w:hint="eastAsia"/>
          <w:b/>
          <w:bCs/>
          <w:i/>
          <w:iCs/>
          <w:sz w:val="20"/>
        </w:rPr>
        <w:t>IAB-</w:t>
      </w:r>
      <w:r>
        <w:rPr>
          <w:rFonts w:eastAsiaTheme="minorEastAsia"/>
          <w:b/>
          <w:bCs/>
          <w:i/>
          <w:iCs/>
          <w:sz w:val="20"/>
        </w:rPr>
        <w:t>DU</w:t>
      </w:r>
    </w:p>
    <w:p w:rsidR="00E32141" w:rsidRDefault="0087623F">
      <w:pPr>
        <w:numPr>
          <w:ilvl w:val="0"/>
          <w:numId w:val="11"/>
        </w:numPr>
        <w:spacing w:beforeLines="0" w:afterLines="0" w:line="259" w:lineRule="auto"/>
        <w:rPr>
          <w:rFonts w:eastAsiaTheme="minorEastAsia"/>
          <w:b/>
          <w:bCs/>
          <w:i/>
          <w:iCs/>
          <w:sz w:val="20"/>
        </w:rPr>
      </w:pPr>
      <w:r>
        <w:rPr>
          <w:rFonts w:eastAsiaTheme="minorEastAsia" w:hint="eastAsia"/>
          <w:b/>
          <w:bCs/>
          <w:i/>
          <w:iCs/>
          <w:sz w:val="20"/>
        </w:rPr>
        <w:t>FFS: Whether Soft frequency resource should be configured.</w:t>
      </w:r>
    </w:p>
    <w:p w:rsidR="00E32141" w:rsidRDefault="0087623F">
      <w:pPr>
        <w:spacing w:beforeLines="0" w:afterLines="0" w:line="259" w:lineRule="auto"/>
        <w:rPr>
          <w:rFonts w:cs="Times"/>
          <w:color w:val="000000"/>
          <w:sz w:val="20"/>
        </w:rPr>
      </w:pPr>
      <w:r>
        <w:rPr>
          <w:rFonts w:eastAsiaTheme="minorEastAsia" w:hint="eastAsia"/>
          <w:b/>
          <w:bCs/>
          <w:i/>
          <w:iCs/>
          <w:sz w:val="20"/>
        </w:rPr>
        <w:t>Proposal</w:t>
      </w:r>
      <w:r>
        <w:rPr>
          <w:rFonts w:eastAsiaTheme="minorEastAsia"/>
          <w:b/>
          <w:bCs/>
          <w:i/>
          <w:iCs/>
          <w:sz w:val="20"/>
        </w:rPr>
        <w:t xml:space="preserve"> </w:t>
      </w:r>
      <w:r>
        <w:rPr>
          <w:rFonts w:eastAsiaTheme="minorEastAsia" w:hint="eastAsia"/>
          <w:b/>
          <w:bCs/>
          <w:i/>
          <w:iCs/>
          <w:sz w:val="20"/>
        </w:rPr>
        <w:t>3</w:t>
      </w:r>
      <w:r>
        <w:rPr>
          <w:rFonts w:eastAsiaTheme="minorEastAsia"/>
          <w:b/>
          <w:bCs/>
          <w:i/>
          <w:iCs/>
          <w:sz w:val="20"/>
        </w:rPr>
        <w:t xml:space="preserve">: </w:t>
      </w:r>
      <w:r>
        <w:rPr>
          <w:rFonts w:eastAsiaTheme="minorEastAsia" w:hint="eastAsia"/>
          <w:b/>
          <w:bCs/>
          <w:i/>
          <w:iCs/>
          <w:sz w:val="20"/>
        </w:rPr>
        <w:t xml:space="preserve">A frequency resource is equivalent to being configured as hard if it is used to transmit or receive </w:t>
      </w:r>
      <w:bookmarkStart w:id="3" w:name="_GoBack"/>
      <w:bookmarkEnd w:id="3"/>
      <w:r>
        <w:rPr>
          <w:rFonts w:eastAsiaTheme="minorEastAsia" w:hint="eastAsia"/>
          <w:b/>
          <w:bCs/>
          <w:i/>
          <w:iCs/>
          <w:sz w:val="20"/>
        </w:rPr>
        <w:t>c</w:t>
      </w:r>
      <w:r>
        <w:rPr>
          <w:rFonts w:eastAsiaTheme="minorEastAsia"/>
          <w:b/>
          <w:bCs/>
          <w:i/>
          <w:iCs/>
          <w:sz w:val="20"/>
        </w:rPr>
        <w:t>ell-specific/semi-static signals and channels</w:t>
      </w:r>
      <w:r>
        <w:rPr>
          <w:rFonts w:eastAsiaTheme="minorEastAsia" w:hint="eastAsia"/>
          <w:b/>
          <w:bCs/>
          <w:i/>
          <w:iCs/>
          <w:sz w:val="20"/>
        </w:rPr>
        <w:t xml:space="preserve"> in the frequency resource by DU</w:t>
      </w:r>
      <w:r>
        <w:rPr>
          <w:rFonts w:eastAsiaTheme="minorEastAsia"/>
          <w:b/>
          <w:bCs/>
          <w:i/>
          <w:iCs/>
          <w:sz w:val="20"/>
        </w:rPr>
        <w:t>.</w:t>
      </w:r>
    </w:p>
    <w:p w:rsidR="00E32141" w:rsidRDefault="0087623F">
      <w:pPr>
        <w:spacing w:beforeLines="0" w:afterLines="0" w:line="259" w:lineRule="auto"/>
        <w:rPr>
          <w:sz w:val="20"/>
        </w:rPr>
      </w:pPr>
      <w:r>
        <w:rPr>
          <w:rFonts w:eastAsiaTheme="minorEastAsia" w:hint="eastAsia"/>
          <w:b/>
          <w:bCs/>
          <w:i/>
          <w:iCs/>
          <w:sz w:val="20"/>
        </w:rPr>
        <w:t>Proposal</w:t>
      </w:r>
      <w:r>
        <w:rPr>
          <w:rFonts w:eastAsiaTheme="minorEastAsia"/>
          <w:b/>
          <w:bCs/>
          <w:i/>
          <w:iCs/>
          <w:sz w:val="20"/>
        </w:rPr>
        <w:t xml:space="preserve"> </w:t>
      </w:r>
      <w:r>
        <w:rPr>
          <w:rFonts w:eastAsiaTheme="minorEastAsia" w:hint="eastAsia"/>
          <w:b/>
          <w:bCs/>
          <w:i/>
          <w:iCs/>
          <w:sz w:val="20"/>
        </w:rPr>
        <w:t>4</w:t>
      </w:r>
      <w:r>
        <w:rPr>
          <w:rFonts w:eastAsiaTheme="minorEastAsia"/>
          <w:b/>
          <w:bCs/>
          <w:i/>
          <w:iCs/>
          <w:sz w:val="20"/>
        </w:rPr>
        <w:t xml:space="preserve">: </w:t>
      </w:r>
      <w:r>
        <w:rPr>
          <w:rFonts w:eastAsiaTheme="minorEastAsia" w:hint="eastAsia"/>
          <w:b/>
          <w:bCs/>
          <w:i/>
          <w:iCs/>
          <w:sz w:val="20"/>
        </w:rPr>
        <w:t xml:space="preserve">For multiplexing Case A/B, study of multi-panel IAB nodes operating in unpaired spectrum should be </w:t>
      </w:r>
      <w:r>
        <w:rPr>
          <w:rFonts w:eastAsiaTheme="minorEastAsia"/>
          <w:b/>
          <w:bCs/>
          <w:i/>
          <w:iCs/>
          <w:sz w:val="20"/>
        </w:rPr>
        <w:t>prioritize</w:t>
      </w:r>
      <w:r>
        <w:rPr>
          <w:rFonts w:eastAsiaTheme="minorEastAsia" w:hint="eastAsia"/>
          <w:b/>
          <w:bCs/>
          <w:i/>
          <w:iCs/>
          <w:sz w:val="20"/>
        </w:rPr>
        <w:t xml:space="preserve">d </w:t>
      </w:r>
      <w:r>
        <w:rPr>
          <w:rFonts w:eastAsiaTheme="minorEastAsia"/>
          <w:b/>
          <w:bCs/>
          <w:i/>
          <w:iCs/>
          <w:sz w:val="20"/>
        </w:rPr>
        <w:t xml:space="preserve">in </w:t>
      </w:r>
      <w:r>
        <w:rPr>
          <w:rFonts w:eastAsiaTheme="minorEastAsia" w:hint="eastAsia"/>
          <w:b/>
          <w:bCs/>
          <w:i/>
          <w:iCs/>
          <w:sz w:val="20"/>
        </w:rPr>
        <w:t>Rel-17</w:t>
      </w:r>
      <w:r>
        <w:rPr>
          <w:rFonts w:eastAsiaTheme="minorEastAsia"/>
          <w:b/>
          <w:bCs/>
          <w:i/>
          <w:iCs/>
          <w:sz w:val="20"/>
        </w:rPr>
        <w:t>.</w:t>
      </w:r>
    </w:p>
    <w:p w:rsidR="00E32141" w:rsidRDefault="0087623F">
      <w:pPr>
        <w:spacing w:before="120" w:after="120"/>
        <w:rPr>
          <w:b/>
          <w:i/>
          <w:sz w:val="20"/>
        </w:rPr>
      </w:pPr>
      <w:r>
        <w:rPr>
          <w:b/>
          <w:i/>
          <w:sz w:val="20"/>
        </w:rPr>
        <w:t xml:space="preserve">Observation 1: For simultaneous DU-Tx/MT-Rx and simultaneous DU-Rx/MT-Tx, although RAN4 may need to work on the corresponding requirements (up to RAN4), the two full-duplex operations can be considered as implementation issues from RAN1 perspective. </w:t>
      </w:r>
    </w:p>
    <w:p w:rsidR="00E32141" w:rsidRDefault="00E32141">
      <w:pPr>
        <w:pStyle w:val="af0"/>
        <w:spacing w:before="120" w:afterLines="0" w:line="259" w:lineRule="auto"/>
        <w:ind w:left="0"/>
        <w:contextualSpacing w:val="0"/>
        <w:rPr>
          <w:b/>
          <w:i/>
          <w:sz w:val="20"/>
        </w:rPr>
      </w:pPr>
    </w:p>
    <w:p w:rsidR="00E32141" w:rsidRDefault="0087623F">
      <w:pPr>
        <w:pStyle w:val="1"/>
        <w:spacing w:before="120" w:after="120"/>
        <w:ind w:left="0"/>
        <w:rPr>
          <w:rFonts w:eastAsia="宋体"/>
        </w:rPr>
      </w:pPr>
      <w:r>
        <w:rPr>
          <w:rFonts w:eastAsia="宋体" w:hint="eastAsia"/>
        </w:rPr>
        <w:lastRenderedPageBreak/>
        <w:t>Reference</w:t>
      </w:r>
      <w:r>
        <w:rPr>
          <w:rFonts w:eastAsia="宋体"/>
        </w:rPr>
        <w:t>s</w:t>
      </w:r>
    </w:p>
    <w:p w:rsidR="00E32141" w:rsidRPr="00227FDA" w:rsidRDefault="0087623F">
      <w:pPr>
        <w:pStyle w:val="References"/>
        <w:spacing w:before="120" w:after="120"/>
        <w:ind w:left="0" w:firstLine="0"/>
        <w:rPr>
          <w:sz w:val="20"/>
          <w:szCs w:val="20"/>
        </w:rPr>
      </w:pPr>
      <w:bookmarkStart w:id="4" w:name="_Ref6480"/>
      <w:bookmarkStart w:id="5" w:name="_Ref17466"/>
      <w:bookmarkStart w:id="6" w:name="_Ref16505925"/>
      <w:r w:rsidRPr="00227FDA">
        <w:rPr>
          <w:rFonts w:hint="eastAsia"/>
          <w:bCs/>
          <w:sz w:val="20"/>
          <w:szCs w:val="20"/>
        </w:rPr>
        <w:t>Chairman's Notes RAN1#102-e final</w:t>
      </w:r>
    </w:p>
    <w:bookmarkEnd w:id="4"/>
    <w:bookmarkEnd w:id="5"/>
    <w:bookmarkEnd w:id="6"/>
    <w:p w:rsidR="00E32141" w:rsidRPr="00227FDA" w:rsidRDefault="0087623F">
      <w:pPr>
        <w:pStyle w:val="References"/>
        <w:spacing w:before="120" w:after="120"/>
        <w:ind w:left="0" w:firstLine="0"/>
        <w:rPr>
          <w:sz w:val="20"/>
          <w:szCs w:val="20"/>
        </w:rPr>
      </w:pPr>
      <w:r w:rsidRPr="00227FDA">
        <w:rPr>
          <w:bCs/>
          <w:sz w:val="20"/>
          <w:szCs w:val="20"/>
        </w:rPr>
        <w:t>RP-2</w:t>
      </w:r>
      <w:r w:rsidRPr="00227FDA">
        <w:rPr>
          <w:sz w:val="20"/>
          <w:szCs w:val="20"/>
        </w:rPr>
        <w:t>01293, New WID on Enhancements to Integrated Access and Backhaul, Qualcomm</w:t>
      </w:r>
    </w:p>
    <w:sectPr w:rsidR="00E32141" w:rsidRPr="00227FDA">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4A8" w:rsidRDefault="0087623F">
      <w:pPr>
        <w:spacing w:before="120" w:after="120" w:line="240" w:lineRule="auto"/>
      </w:pPr>
      <w:r>
        <w:separator/>
      </w:r>
    </w:p>
  </w:endnote>
  <w:endnote w:type="continuationSeparator" w:id="0">
    <w:p w:rsidR="00A964A8" w:rsidRDefault="0087623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141" w:rsidRDefault="00E32141">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975824"/>
    </w:sdtPr>
    <w:sdtEndPr/>
    <w:sdtContent>
      <w:p w:rsidR="00E32141" w:rsidRDefault="0087623F">
        <w:pPr>
          <w:pStyle w:val="a7"/>
          <w:spacing w:before="120" w:after="120"/>
          <w:jc w:val="center"/>
        </w:pPr>
        <w:r>
          <w:fldChar w:fldCharType="begin"/>
        </w:r>
        <w:r>
          <w:instrText xml:space="preserve"> PAGE   \* MERGEFORMAT </w:instrText>
        </w:r>
        <w:r>
          <w:fldChar w:fldCharType="separate"/>
        </w:r>
        <w:r w:rsidR="00227FDA">
          <w:rPr>
            <w:noProof/>
          </w:rPr>
          <w:t>4</w:t>
        </w:r>
        <w:r>
          <w:fldChar w:fldCharType="end"/>
        </w:r>
      </w:p>
    </w:sdtContent>
  </w:sdt>
  <w:p w:rsidR="00E32141" w:rsidRDefault="00E32141">
    <w:pPr>
      <w:pStyle w:val="a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141" w:rsidRDefault="00E32141">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4A8" w:rsidRDefault="0087623F">
      <w:pPr>
        <w:spacing w:before="120" w:after="120" w:line="240" w:lineRule="auto"/>
      </w:pPr>
      <w:r>
        <w:separator/>
      </w:r>
    </w:p>
  </w:footnote>
  <w:footnote w:type="continuationSeparator" w:id="0">
    <w:p w:rsidR="00A964A8" w:rsidRDefault="0087623F">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141" w:rsidRDefault="00E32141">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141" w:rsidRDefault="00E32141">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141" w:rsidRDefault="00E32141">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84A0DAA"/>
    <w:multiLevelType w:val="multilevel"/>
    <w:tmpl w:val="484A0DA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64124D6A"/>
    <w:multiLevelType w:val="multilevel"/>
    <w:tmpl w:val="64124D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68EFE06D"/>
    <w:multiLevelType w:val="singleLevel"/>
    <w:tmpl w:val="68EFE06D"/>
    <w:lvl w:ilvl="0">
      <w:start w:val="1"/>
      <w:numFmt w:val="bullet"/>
      <w:lvlText w:val="▪"/>
      <w:lvlJc w:val="left"/>
      <w:pPr>
        <w:ind w:left="420" w:hanging="420"/>
      </w:pPr>
      <w:rPr>
        <w:rFonts w:ascii="Arial" w:hAnsi="Arial" w:cs="Arial" w:hint="default"/>
      </w:rPr>
    </w:lvl>
  </w:abstractNum>
  <w:abstractNum w:abstractNumId="1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7"/>
  </w:num>
  <w:num w:numId="3">
    <w:abstractNumId w:val="0"/>
  </w:num>
  <w:num w:numId="4">
    <w:abstractNumId w:val="2"/>
  </w:num>
  <w:num w:numId="5">
    <w:abstractNumId w:val="10"/>
  </w:num>
  <w:num w:numId="6">
    <w:abstractNumId w:val="1"/>
  </w:num>
  <w:num w:numId="7">
    <w:abstractNumId w:val="6"/>
  </w:num>
  <w:num w:numId="8">
    <w:abstractNumId w:val="4"/>
  </w:num>
  <w:num w:numId="9">
    <w:abstractNumId w:val="5"/>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43D"/>
    <w:rsid w:val="000153A2"/>
    <w:rsid w:val="0002562E"/>
    <w:rsid w:val="000267DF"/>
    <w:rsid w:val="00027F1E"/>
    <w:rsid w:val="00051D0F"/>
    <w:rsid w:val="00052788"/>
    <w:rsid w:val="00052B50"/>
    <w:rsid w:val="000B26FC"/>
    <w:rsid w:val="000D17FF"/>
    <w:rsid w:val="001232D4"/>
    <w:rsid w:val="00145443"/>
    <w:rsid w:val="001624CD"/>
    <w:rsid w:val="00172A27"/>
    <w:rsid w:val="001A4F7B"/>
    <w:rsid w:val="001B6B4A"/>
    <w:rsid w:val="0022245F"/>
    <w:rsid w:val="00227FDA"/>
    <w:rsid w:val="00243A33"/>
    <w:rsid w:val="00257880"/>
    <w:rsid w:val="002B69E3"/>
    <w:rsid w:val="002D3394"/>
    <w:rsid w:val="002E4AC2"/>
    <w:rsid w:val="002E5FB1"/>
    <w:rsid w:val="002F0461"/>
    <w:rsid w:val="002F3518"/>
    <w:rsid w:val="00310F22"/>
    <w:rsid w:val="00316A30"/>
    <w:rsid w:val="003376D9"/>
    <w:rsid w:val="00345220"/>
    <w:rsid w:val="00356615"/>
    <w:rsid w:val="003600B9"/>
    <w:rsid w:val="003846AA"/>
    <w:rsid w:val="00390DF0"/>
    <w:rsid w:val="003B3563"/>
    <w:rsid w:val="003C63A8"/>
    <w:rsid w:val="00414285"/>
    <w:rsid w:val="004270F1"/>
    <w:rsid w:val="004730DE"/>
    <w:rsid w:val="004730EB"/>
    <w:rsid w:val="004901DC"/>
    <w:rsid w:val="004A60A2"/>
    <w:rsid w:val="004C5B08"/>
    <w:rsid w:val="004D3384"/>
    <w:rsid w:val="00500BCB"/>
    <w:rsid w:val="005013FA"/>
    <w:rsid w:val="005039B7"/>
    <w:rsid w:val="00507DD7"/>
    <w:rsid w:val="00516A66"/>
    <w:rsid w:val="0052359B"/>
    <w:rsid w:val="005246E7"/>
    <w:rsid w:val="00541A4E"/>
    <w:rsid w:val="00545F29"/>
    <w:rsid w:val="00551DD0"/>
    <w:rsid w:val="00553DD5"/>
    <w:rsid w:val="00556D60"/>
    <w:rsid w:val="005636C0"/>
    <w:rsid w:val="00563EBB"/>
    <w:rsid w:val="0057674C"/>
    <w:rsid w:val="00576896"/>
    <w:rsid w:val="0058496B"/>
    <w:rsid w:val="0059363A"/>
    <w:rsid w:val="005A4C77"/>
    <w:rsid w:val="005B065E"/>
    <w:rsid w:val="005B6DE3"/>
    <w:rsid w:val="005D537B"/>
    <w:rsid w:val="005E446B"/>
    <w:rsid w:val="00623393"/>
    <w:rsid w:val="00626ECE"/>
    <w:rsid w:val="0063648C"/>
    <w:rsid w:val="00644D08"/>
    <w:rsid w:val="00661237"/>
    <w:rsid w:val="00672F4C"/>
    <w:rsid w:val="006808A8"/>
    <w:rsid w:val="006841E3"/>
    <w:rsid w:val="006863A4"/>
    <w:rsid w:val="00690F99"/>
    <w:rsid w:val="006A094C"/>
    <w:rsid w:val="006A6DCC"/>
    <w:rsid w:val="006A7CF4"/>
    <w:rsid w:val="006B15D1"/>
    <w:rsid w:val="006C1830"/>
    <w:rsid w:val="006D4629"/>
    <w:rsid w:val="006E7B88"/>
    <w:rsid w:val="0070297F"/>
    <w:rsid w:val="0070453F"/>
    <w:rsid w:val="007147B7"/>
    <w:rsid w:val="00735070"/>
    <w:rsid w:val="00745486"/>
    <w:rsid w:val="007665DF"/>
    <w:rsid w:val="007777CB"/>
    <w:rsid w:val="007B04BC"/>
    <w:rsid w:val="007B43ED"/>
    <w:rsid w:val="007B78C9"/>
    <w:rsid w:val="007C009E"/>
    <w:rsid w:val="007C39E1"/>
    <w:rsid w:val="007D333E"/>
    <w:rsid w:val="007E7055"/>
    <w:rsid w:val="007F1BE6"/>
    <w:rsid w:val="00816AFB"/>
    <w:rsid w:val="008263E5"/>
    <w:rsid w:val="0083140F"/>
    <w:rsid w:val="00852E61"/>
    <w:rsid w:val="00860A0F"/>
    <w:rsid w:val="0086122C"/>
    <w:rsid w:val="00862313"/>
    <w:rsid w:val="0087623F"/>
    <w:rsid w:val="0088133B"/>
    <w:rsid w:val="00896CFA"/>
    <w:rsid w:val="008B5FB1"/>
    <w:rsid w:val="0090506D"/>
    <w:rsid w:val="00912C1B"/>
    <w:rsid w:val="00926B3A"/>
    <w:rsid w:val="00940768"/>
    <w:rsid w:val="009521F1"/>
    <w:rsid w:val="0096044C"/>
    <w:rsid w:val="00970BF7"/>
    <w:rsid w:val="009B2134"/>
    <w:rsid w:val="00A149DC"/>
    <w:rsid w:val="00A224BC"/>
    <w:rsid w:val="00A22656"/>
    <w:rsid w:val="00A70879"/>
    <w:rsid w:val="00A9234E"/>
    <w:rsid w:val="00A964A8"/>
    <w:rsid w:val="00AA1629"/>
    <w:rsid w:val="00AA5D98"/>
    <w:rsid w:val="00AB341D"/>
    <w:rsid w:val="00AE2389"/>
    <w:rsid w:val="00AF3719"/>
    <w:rsid w:val="00B25274"/>
    <w:rsid w:val="00B37037"/>
    <w:rsid w:val="00B46FFB"/>
    <w:rsid w:val="00B7555D"/>
    <w:rsid w:val="00BC3C97"/>
    <w:rsid w:val="00BC6F7D"/>
    <w:rsid w:val="00BD7545"/>
    <w:rsid w:val="00BE1617"/>
    <w:rsid w:val="00BE18E1"/>
    <w:rsid w:val="00BE43B9"/>
    <w:rsid w:val="00BF20D4"/>
    <w:rsid w:val="00C27E6D"/>
    <w:rsid w:val="00C33459"/>
    <w:rsid w:val="00C4368C"/>
    <w:rsid w:val="00C63CE1"/>
    <w:rsid w:val="00C70860"/>
    <w:rsid w:val="00C95A38"/>
    <w:rsid w:val="00CB0B03"/>
    <w:rsid w:val="00CB15E3"/>
    <w:rsid w:val="00CC1A49"/>
    <w:rsid w:val="00CF3DEB"/>
    <w:rsid w:val="00D12230"/>
    <w:rsid w:val="00D24438"/>
    <w:rsid w:val="00D47770"/>
    <w:rsid w:val="00D70875"/>
    <w:rsid w:val="00D93A27"/>
    <w:rsid w:val="00DC0EB7"/>
    <w:rsid w:val="00DC1D12"/>
    <w:rsid w:val="00DC6400"/>
    <w:rsid w:val="00DE58F1"/>
    <w:rsid w:val="00DE63C1"/>
    <w:rsid w:val="00E02288"/>
    <w:rsid w:val="00E25964"/>
    <w:rsid w:val="00E305B9"/>
    <w:rsid w:val="00E32141"/>
    <w:rsid w:val="00E32D38"/>
    <w:rsid w:val="00E4276A"/>
    <w:rsid w:val="00E5154F"/>
    <w:rsid w:val="00E521B1"/>
    <w:rsid w:val="00E57AC4"/>
    <w:rsid w:val="00E92040"/>
    <w:rsid w:val="00EB697F"/>
    <w:rsid w:val="00ED3DD9"/>
    <w:rsid w:val="00F02BE2"/>
    <w:rsid w:val="00F05043"/>
    <w:rsid w:val="00F22613"/>
    <w:rsid w:val="00F52A83"/>
    <w:rsid w:val="00F732EA"/>
    <w:rsid w:val="00F74907"/>
    <w:rsid w:val="00F81C17"/>
    <w:rsid w:val="00FB3C0F"/>
    <w:rsid w:val="00FD2DE4"/>
    <w:rsid w:val="013902F6"/>
    <w:rsid w:val="013B4FF0"/>
    <w:rsid w:val="01764F01"/>
    <w:rsid w:val="018335FF"/>
    <w:rsid w:val="01875AEA"/>
    <w:rsid w:val="01876AF7"/>
    <w:rsid w:val="01926535"/>
    <w:rsid w:val="01A24378"/>
    <w:rsid w:val="01BB204B"/>
    <w:rsid w:val="01C725CA"/>
    <w:rsid w:val="0205657A"/>
    <w:rsid w:val="021E0B8F"/>
    <w:rsid w:val="023A7E5D"/>
    <w:rsid w:val="024D6B6A"/>
    <w:rsid w:val="026F1742"/>
    <w:rsid w:val="02751E2C"/>
    <w:rsid w:val="0286670F"/>
    <w:rsid w:val="029B04E7"/>
    <w:rsid w:val="02A549AD"/>
    <w:rsid w:val="02B45F00"/>
    <w:rsid w:val="02EE40B6"/>
    <w:rsid w:val="02FC5D30"/>
    <w:rsid w:val="03073BDC"/>
    <w:rsid w:val="03355CBE"/>
    <w:rsid w:val="033F44DC"/>
    <w:rsid w:val="03640F72"/>
    <w:rsid w:val="0394270E"/>
    <w:rsid w:val="03B13DEA"/>
    <w:rsid w:val="03E37A5C"/>
    <w:rsid w:val="03EF12AC"/>
    <w:rsid w:val="03F318CE"/>
    <w:rsid w:val="041108B1"/>
    <w:rsid w:val="04225BC0"/>
    <w:rsid w:val="04461333"/>
    <w:rsid w:val="044D7F0D"/>
    <w:rsid w:val="048940FA"/>
    <w:rsid w:val="04D353E6"/>
    <w:rsid w:val="052C4FC7"/>
    <w:rsid w:val="052E6B90"/>
    <w:rsid w:val="0555228E"/>
    <w:rsid w:val="05851FAF"/>
    <w:rsid w:val="05856413"/>
    <w:rsid w:val="059D1E39"/>
    <w:rsid w:val="05A278A8"/>
    <w:rsid w:val="05E078B3"/>
    <w:rsid w:val="05FF5C40"/>
    <w:rsid w:val="06417BEE"/>
    <w:rsid w:val="06A52D30"/>
    <w:rsid w:val="06C54C67"/>
    <w:rsid w:val="06D50911"/>
    <w:rsid w:val="06D65306"/>
    <w:rsid w:val="06D6577F"/>
    <w:rsid w:val="06DA4D4C"/>
    <w:rsid w:val="06EE32C9"/>
    <w:rsid w:val="07036267"/>
    <w:rsid w:val="07064891"/>
    <w:rsid w:val="071D167C"/>
    <w:rsid w:val="073A47AF"/>
    <w:rsid w:val="0747518A"/>
    <w:rsid w:val="075248EB"/>
    <w:rsid w:val="075675EB"/>
    <w:rsid w:val="075C67A3"/>
    <w:rsid w:val="077D0583"/>
    <w:rsid w:val="0787769B"/>
    <w:rsid w:val="07954073"/>
    <w:rsid w:val="079724D0"/>
    <w:rsid w:val="079E23A9"/>
    <w:rsid w:val="07A35120"/>
    <w:rsid w:val="07C64F6B"/>
    <w:rsid w:val="07C82A90"/>
    <w:rsid w:val="07DF6306"/>
    <w:rsid w:val="081D74F8"/>
    <w:rsid w:val="082A352F"/>
    <w:rsid w:val="0851464F"/>
    <w:rsid w:val="087C09ED"/>
    <w:rsid w:val="089658EB"/>
    <w:rsid w:val="08A55ED7"/>
    <w:rsid w:val="08C349D1"/>
    <w:rsid w:val="08D147B4"/>
    <w:rsid w:val="08D43869"/>
    <w:rsid w:val="08EF7A81"/>
    <w:rsid w:val="090C3A47"/>
    <w:rsid w:val="09354BDA"/>
    <w:rsid w:val="09371E20"/>
    <w:rsid w:val="093F11D7"/>
    <w:rsid w:val="0968191C"/>
    <w:rsid w:val="096952A6"/>
    <w:rsid w:val="096E0747"/>
    <w:rsid w:val="098B422A"/>
    <w:rsid w:val="09972C4E"/>
    <w:rsid w:val="099A4C25"/>
    <w:rsid w:val="09D57250"/>
    <w:rsid w:val="09DB74BF"/>
    <w:rsid w:val="09EF48C2"/>
    <w:rsid w:val="09F67CD5"/>
    <w:rsid w:val="0A1C4D5C"/>
    <w:rsid w:val="0A1E0BD1"/>
    <w:rsid w:val="0A273CE1"/>
    <w:rsid w:val="0A2A3B5C"/>
    <w:rsid w:val="0A4A0C38"/>
    <w:rsid w:val="0A814E16"/>
    <w:rsid w:val="0A9C4839"/>
    <w:rsid w:val="0AA7294A"/>
    <w:rsid w:val="0AAE4D33"/>
    <w:rsid w:val="0AB076F0"/>
    <w:rsid w:val="0AB44E0F"/>
    <w:rsid w:val="0ABE3F3C"/>
    <w:rsid w:val="0AD0416B"/>
    <w:rsid w:val="0AD07E35"/>
    <w:rsid w:val="0AEA7216"/>
    <w:rsid w:val="0B583BBB"/>
    <w:rsid w:val="0B722383"/>
    <w:rsid w:val="0B732094"/>
    <w:rsid w:val="0B747BE2"/>
    <w:rsid w:val="0B870DDB"/>
    <w:rsid w:val="0B884441"/>
    <w:rsid w:val="0B8F54B6"/>
    <w:rsid w:val="0B9E71DF"/>
    <w:rsid w:val="0BB04D20"/>
    <w:rsid w:val="0BD313B8"/>
    <w:rsid w:val="0C635466"/>
    <w:rsid w:val="0C6A7FFE"/>
    <w:rsid w:val="0C900C57"/>
    <w:rsid w:val="0C935E91"/>
    <w:rsid w:val="0C9D30C2"/>
    <w:rsid w:val="0CB448A0"/>
    <w:rsid w:val="0CBB2FFB"/>
    <w:rsid w:val="0CBF1554"/>
    <w:rsid w:val="0D0F6620"/>
    <w:rsid w:val="0D167A71"/>
    <w:rsid w:val="0D297F0F"/>
    <w:rsid w:val="0D560811"/>
    <w:rsid w:val="0D746A50"/>
    <w:rsid w:val="0D784804"/>
    <w:rsid w:val="0D8E7E4A"/>
    <w:rsid w:val="0DB6345E"/>
    <w:rsid w:val="0DB66F6E"/>
    <w:rsid w:val="0DBC78F6"/>
    <w:rsid w:val="0DC55238"/>
    <w:rsid w:val="0DCD3EA6"/>
    <w:rsid w:val="0DEE2560"/>
    <w:rsid w:val="0DF96AE9"/>
    <w:rsid w:val="0E172BD0"/>
    <w:rsid w:val="0E1D7B7F"/>
    <w:rsid w:val="0E7F55B8"/>
    <w:rsid w:val="0E86517F"/>
    <w:rsid w:val="0E8822C6"/>
    <w:rsid w:val="0EA5031C"/>
    <w:rsid w:val="0EA649CE"/>
    <w:rsid w:val="0EC71015"/>
    <w:rsid w:val="0EC96BBA"/>
    <w:rsid w:val="0EDA1A8F"/>
    <w:rsid w:val="0EDC31B7"/>
    <w:rsid w:val="0EFD763E"/>
    <w:rsid w:val="0EFE12A1"/>
    <w:rsid w:val="0F056546"/>
    <w:rsid w:val="0F093DAA"/>
    <w:rsid w:val="0F094227"/>
    <w:rsid w:val="0F0A1726"/>
    <w:rsid w:val="0F0C3587"/>
    <w:rsid w:val="0F310742"/>
    <w:rsid w:val="0F4D2174"/>
    <w:rsid w:val="0F63585D"/>
    <w:rsid w:val="0F6613E0"/>
    <w:rsid w:val="0F69111E"/>
    <w:rsid w:val="0F9713FE"/>
    <w:rsid w:val="0F9B3002"/>
    <w:rsid w:val="0FCE7309"/>
    <w:rsid w:val="0FDC43DB"/>
    <w:rsid w:val="0FF10D1E"/>
    <w:rsid w:val="0FF53599"/>
    <w:rsid w:val="10202A29"/>
    <w:rsid w:val="102B1D21"/>
    <w:rsid w:val="102C315D"/>
    <w:rsid w:val="103B0536"/>
    <w:rsid w:val="107407B2"/>
    <w:rsid w:val="10770D42"/>
    <w:rsid w:val="10834717"/>
    <w:rsid w:val="10A36FD2"/>
    <w:rsid w:val="10A50104"/>
    <w:rsid w:val="10B20ACD"/>
    <w:rsid w:val="10DE45CD"/>
    <w:rsid w:val="10E40B4A"/>
    <w:rsid w:val="111D5E4F"/>
    <w:rsid w:val="112724B2"/>
    <w:rsid w:val="113F7697"/>
    <w:rsid w:val="115547C5"/>
    <w:rsid w:val="115B3410"/>
    <w:rsid w:val="1174440C"/>
    <w:rsid w:val="119229B8"/>
    <w:rsid w:val="119D7849"/>
    <w:rsid w:val="11B47D38"/>
    <w:rsid w:val="11C23280"/>
    <w:rsid w:val="11C253B0"/>
    <w:rsid w:val="11EC1275"/>
    <w:rsid w:val="121248A4"/>
    <w:rsid w:val="123D0A74"/>
    <w:rsid w:val="123E4638"/>
    <w:rsid w:val="1242135C"/>
    <w:rsid w:val="126B0972"/>
    <w:rsid w:val="1271361B"/>
    <w:rsid w:val="127565D6"/>
    <w:rsid w:val="127C6566"/>
    <w:rsid w:val="12865D00"/>
    <w:rsid w:val="128A7265"/>
    <w:rsid w:val="12A8501B"/>
    <w:rsid w:val="12B945C1"/>
    <w:rsid w:val="12FF4F68"/>
    <w:rsid w:val="13301ADB"/>
    <w:rsid w:val="13317CD1"/>
    <w:rsid w:val="133C4FF8"/>
    <w:rsid w:val="1350063D"/>
    <w:rsid w:val="136019A1"/>
    <w:rsid w:val="1361544C"/>
    <w:rsid w:val="138323A3"/>
    <w:rsid w:val="138802B4"/>
    <w:rsid w:val="1389040E"/>
    <w:rsid w:val="138F18CE"/>
    <w:rsid w:val="139E0A9C"/>
    <w:rsid w:val="139F2F93"/>
    <w:rsid w:val="13A1683F"/>
    <w:rsid w:val="13AA6ECA"/>
    <w:rsid w:val="13AE5627"/>
    <w:rsid w:val="13EB14DD"/>
    <w:rsid w:val="143B2D27"/>
    <w:rsid w:val="149A0294"/>
    <w:rsid w:val="14A327A9"/>
    <w:rsid w:val="14C20D1C"/>
    <w:rsid w:val="14DA3DA1"/>
    <w:rsid w:val="14E544AE"/>
    <w:rsid w:val="14EB4B57"/>
    <w:rsid w:val="14FE5EFE"/>
    <w:rsid w:val="15067DB4"/>
    <w:rsid w:val="151B47C7"/>
    <w:rsid w:val="151B6169"/>
    <w:rsid w:val="154178EA"/>
    <w:rsid w:val="15730C5B"/>
    <w:rsid w:val="15820826"/>
    <w:rsid w:val="15970CB0"/>
    <w:rsid w:val="15AA3A50"/>
    <w:rsid w:val="15BC2DFB"/>
    <w:rsid w:val="15DC4D4B"/>
    <w:rsid w:val="15F03D23"/>
    <w:rsid w:val="162E6029"/>
    <w:rsid w:val="16465B94"/>
    <w:rsid w:val="16511361"/>
    <w:rsid w:val="16563983"/>
    <w:rsid w:val="1687278D"/>
    <w:rsid w:val="168B40B5"/>
    <w:rsid w:val="169C6BD0"/>
    <w:rsid w:val="16BE13E9"/>
    <w:rsid w:val="16D7232B"/>
    <w:rsid w:val="16F1108D"/>
    <w:rsid w:val="16FB5F3B"/>
    <w:rsid w:val="170F425C"/>
    <w:rsid w:val="17155857"/>
    <w:rsid w:val="17164289"/>
    <w:rsid w:val="171A3DA7"/>
    <w:rsid w:val="173D31BE"/>
    <w:rsid w:val="178D0926"/>
    <w:rsid w:val="17950508"/>
    <w:rsid w:val="17A17B3F"/>
    <w:rsid w:val="17AB26FC"/>
    <w:rsid w:val="17C37718"/>
    <w:rsid w:val="17D007B6"/>
    <w:rsid w:val="17FF28A5"/>
    <w:rsid w:val="183058C2"/>
    <w:rsid w:val="18315770"/>
    <w:rsid w:val="1843077F"/>
    <w:rsid w:val="184B58C3"/>
    <w:rsid w:val="184D1C41"/>
    <w:rsid w:val="186B72C8"/>
    <w:rsid w:val="189F63F4"/>
    <w:rsid w:val="19010C43"/>
    <w:rsid w:val="19084C73"/>
    <w:rsid w:val="19201A32"/>
    <w:rsid w:val="193B4EA1"/>
    <w:rsid w:val="19592D5B"/>
    <w:rsid w:val="19A775AE"/>
    <w:rsid w:val="19D54F87"/>
    <w:rsid w:val="19F87860"/>
    <w:rsid w:val="1A054259"/>
    <w:rsid w:val="1A08634D"/>
    <w:rsid w:val="1A1863A4"/>
    <w:rsid w:val="1A296717"/>
    <w:rsid w:val="1A84350B"/>
    <w:rsid w:val="1A946A05"/>
    <w:rsid w:val="1AFB32C8"/>
    <w:rsid w:val="1B1A564F"/>
    <w:rsid w:val="1B2577E2"/>
    <w:rsid w:val="1B424FF1"/>
    <w:rsid w:val="1B440D00"/>
    <w:rsid w:val="1B4D1944"/>
    <w:rsid w:val="1B572AD3"/>
    <w:rsid w:val="1B5D653E"/>
    <w:rsid w:val="1B737D58"/>
    <w:rsid w:val="1B777BA8"/>
    <w:rsid w:val="1B7F6005"/>
    <w:rsid w:val="1B83264C"/>
    <w:rsid w:val="1BA077F7"/>
    <w:rsid w:val="1BA92B1F"/>
    <w:rsid w:val="1BC87783"/>
    <w:rsid w:val="1BCF47AE"/>
    <w:rsid w:val="1BDF4AB1"/>
    <w:rsid w:val="1BF54C41"/>
    <w:rsid w:val="1C12027B"/>
    <w:rsid w:val="1C132CB9"/>
    <w:rsid w:val="1C1F4947"/>
    <w:rsid w:val="1C2501AC"/>
    <w:rsid w:val="1C504281"/>
    <w:rsid w:val="1C5E342A"/>
    <w:rsid w:val="1C68709B"/>
    <w:rsid w:val="1C795227"/>
    <w:rsid w:val="1CA72CF1"/>
    <w:rsid w:val="1CAE0A20"/>
    <w:rsid w:val="1CB70B42"/>
    <w:rsid w:val="1CBF1A2F"/>
    <w:rsid w:val="1CC91DC6"/>
    <w:rsid w:val="1CCC26CA"/>
    <w:rsid w:val="1CCD4993"/>
    <w:rsid w:val="1CD73C02"/>
    <w:rsid w:val="1CDD1467"/>
    <w:rsid w:val="1CEC2490"/>
    <w:rsid w:val="1CF15725"/>
    <w:rsid w:val="1D0A6997"/>
    <w:rsid w:val="1D172E57"/>
    <w:rsid w:val="1D203DC2"/>
    <w:rsid w:val="1D3115FF"/>
    <w:rsid w:val="1DBB6A6B"/>
    <w:rsid w:val="1DC9144A"/>
    <w:rsid w:val="1DD27379"/>
    <w:rsid w:val="1DD44E5E"/>
    <w:rsid w:val="1DE74279"/>
    <w:rsid w:val="1E385296"/>
    <w:rsid w:val="1E40264C"/>
    <w:rsid w:val="1E606C25"/>
    <w:rsid w:val="1E835A4A"/>
    <w:rsid w:val="1E9D6342"/>
    <w:rsid w:val="1EAD27B4"/>
    <w:rsid w:val="1EB16CEA"/>
    <w:rsid w:val="1EBD7FBA"/>
    <w:rsid w:val="1ECD1E7C"/>
    <w:rsid w:val="1EE8230A"/>
    <w:rsid w:val="1EED2D0F"/>
    <w:rsid w:val="1EF73789"/>
    <w:rsid w:val="1F11202A"/>
    <w:rsid w:val="1F200D56"/>
    <w:rsid w:val="1F44338C"/>
    <w:rsid w:val="1F4A3AA0"/>
    <w:rsid w:val="1F545EF7"/>
    <w:rsid w:val="1F621AC5"/>
    <w:rsid w:val="1F740D19"/>
    <w:rsid w:val="1F7948C5"/>
    <w:rsid w:val="1F8E2A23"/>
    <w:rsid w:val="1FAA599D"/>
    <w:rsid w:val="1FB9295C"/>
    <w:rsid w:val="1FBE6355"/>
    <w:rsid w:val="1FD563CF"/>
    <w:rsid w:val="1FE9497A"/>
    <w:rsid w:val="1FED41D1"/>
    <w:rsid w:val="1FEE796A"/>
    <w:rsid w:val="1FF44CC5"/>
    <w:rsid w:val="20272806"/>
    <w:rsid w:val="204E6676"/>
    <w:rsid w:val="205C133F"/>
    <w:rsid w:val="205D1519"/>
    <w:rsid w:val="205F5316"/>
    <w:rsid w:val="206851C7"/>
    <w:rsid w:val="206B1583"/>
    <w:rsid w:val="207036D0"/>
    <w:rsid w:val="2095594A"/>
    <w:rsid w:val="20A04203"/>
    <w:rsid w:val="20C5655E"/>
    <w:rsid w:val="20E554C6"/>
    <w:rsid w:val="20EC6F77"/>
    <w:rsid w:val="210C40D4"/>
    <w:rsid w:val="21232E49"/>
    <w:rsid w:val="21247254"/>
    <w:rsid w:val="212D37D3"/>
    <w:rsid w:val="213F3095"/>
    <w:rsid w:val="21407F52"/>
    <w:rsid w:val="217F33D3"/>
    <w:rsid w:val="218B3D04"/>
    <w:rsid w:val="2195668B"/>
    <w:rsid w:val="21B93C18"/>
    <w:rsid w:val="21BC7634"/>
    <w:rsid w:val="21BE5AD4"/>
    <w:rsid w:val="21D61543"/>
    <w:rsid w:val="21F13A51"/>
    <w:rsid w:val="2207503E"/>
    <w:rsid w:val="22193EB0"/>
    <w:rsid w:val="2232537F"/>
    <w:rsid w:val="22344B8C"/>
    <w:rsid w:val="224B31E3"/>
    <w:rsid w:val="225E6D36"/>
    <w:rsid w:val="22607DC6"/>
    <w:rsid w:val="226E2DBC"/>
    <w:rsid w:val="226E690F"/>
    <w:rsid w:val="228B3C29"/>
    <w:rsid w:val="22A040AE"/>
    <w:rsid w:val="22DC68C8"/>
    <w:rsid w:val="22E04EEF"/>
    <w:rsid w:val="22EE1B29"/>
    <w:rsid w:val="23081A49"/>
    <w:rsid w:val="231D546C"/>
    <w:rsid w:val="234C762A"/>
    <w:rsid w:val="236D549D"/>
    <w:rsid w:val="23732C84"/>
    <w:rsid w:val="237D7407"/>
    <w:rsid w:val="23A153BB"/>
    <w:rsid w:val="23A71AEF"/>
    <w:rsid w:val="23C65CBB"/>
    <w:rsid w:val="23FC77CD"/>
    <w:rsid w:val="23FF4C86"/>
    <w:rsid w:val="240A50F9"/>
    <w:rsid w:val="241B144A"/>
    <w:rsid w:val="241F451E"/>
    <w:rsid w:val="24296407"/>
    <w:rsid w:val="243105C9"/>
    <w:rsid w:val="2431068B"/>
    <w:rsid w:val="2438659C"/>
    <w:rsid w:val="245C52F8"/>
    <w:rsid w:val="245D3DAF"/>
    <w:rsid w:val="245D472D"/>
    <w:rsid w:val="2463385E"/>
    <w:rsid w:val="246C7E4D"/>
    <w:rsid w:val="247C3380"/>
    <w:rsid w:val="24803C7F"/>
    <w:rsid w:val="24892C19"/>
    <w:rsid w:val="24967A52"/>
    <w:rsid w:val="24A5031B"/>
    <w:rsid w:val="24A5790D"/>
    <w:rsid w:val="24AE7CC5"/>
    <w:rsid w:val="24CB209B"/>
    <w:rsid w:val="24D67F3D"/>
    <w:rsid w:val="24DF2713"/>
    <w:rsid w:val="24E00D96"/>
    <w:rsid w:val="24E170AA"/>
    <w:rsid w:val="250B2026"/>
    <w:rsid w:val="250D568B"/>
    <w:rsid w:val="25134332"/>
    <w:rsid w:val="251E37AC"/>
    <w:rsid w:val="252C45B2"/>
    <w:rsid w:val="257E508F"/>
    <w:rsid w:val="2587779B"/>
    <w:rsid w:val="25CC3733"/>
    <w:rsid w:val="25DA0EE9"/>
    <w:rsid w:val="25E07BAD"/>
    <w:rsid w:val="25E506CA"/>
    <w:rsid w:val="25E81B44"/>
    <w:rsid w:val="262E711A"/>
    <w:rsid w:val="263067EE"/>
    <w:rsid w:val="26327BC1"/>
    <w:rsid w:val="26414638"/>
    <w:rsid w:val="267C2BA3"/>
    <w:rsid w:val="26901767"/>
    <w:rsid w:val="26AB5F0B"/>
    <w:rsid w:val="26AF4E34"/>
    <w:rsid w:val="26B038BE"/>
    <w:rsid w:val="26BF5712"/>
    <w:rsid w:val="27254C9D"/>
    <w:rsid w:val="276342CE"/>
    <w:rsid w:val="276D34F3"/>
    <w:rsid w:val="279468ED"/>
    <w:rsid w:val="27AA6552"/>
    <w:rsid w:val="27AB7429"/>
    <w:rsid w:val="27BA0428"/>
    <w:rsid w:val="27D46B0A"/>
    <w:rsid w:val="2803130A"/>
    <w:rsid w:val="28050340"/>
    <w:rsid w:val="2815431F"/>
    <w:rsid w:val="28190896"/>
    <w:rsid w:val="285C053E"/>
    <w:rsid w:val="287852C7"/>
    <w:rsid w:val="28D37020"/>
    <w:rsid w:val="28F676BC"/>
    <w:rsid w:val="2902327B"/>
    <w:rsid w:val="293158F1"/>
    <w:rsid w:val="29512530"/>
    <w:rsid w:val="29660097"/>
    <w:rsid w:val="29697554"/>
    <w:rsid w:val="297A484B"/>
    <w:rsid w:val="297B7731"/>
    <w:rsid w:val="29A04FC7"/>
    <w:rsid w:val="29AE5F14"/>
    <w:rsid w:val="29EA6437"/>
    <w:rsid w:val="29FA7F26"/>
    <w:rsid w:val="2A0D5A73"/>
    <w:rsid w:val="2A11418E"/>
    <w:rsid w:val="2A185EC7"/>
    <w:rsid w:val="2A717471"/>
    <w:rsid w:val="2A737817"/>
    <w:rsid w:val="2A846944"/>
    <w:rsid w:val="2ABD3537"/>
    <w:rsid w:val="2AC21518"/>
    <w:rsid w:val="2AC47DA0"/>
    <w:rsid w:val="2AFE074F"/>
    <w:rsid w:val="2B135CD1"/>
    <w:rsid w:val="2B3E14CC"/>
    <w:rsid w:val="2B505571"/>
    <w:rsid w:val="2B5D7E39"/>
    <w:rsid w:val="2B774832"/>
    <w:rsid w:val="2B81100E"/>
    <w:rsid w:val="2B8B50DE"/>
    <w:rsid w:val="2B940C41"/>
    <w:rsid w:val="2C0002F9"/>
    <w:rsid w:val="2C2E03A4"/>
    <w:rsid w:val="2C3C0810"/>
    <w:rsid w:val="2C40339C"/>
    <w:rsid w:val="2C592A41"/>
    <w:rsid w:val="2C6A0806"/>
    <w:rsid w:val="2C8533BD"/>
    <w:rsid w:val="2C863BDD"/>
    <w:rsid w:val="2C8D4DF2"/>
    <w:rsid w:val="2C8F5BC5"/>
    <w:rsid w:val="2C9A58DB"/>
    <w:rsid w:val="2CA06540"/>
    <w:rsid w:val="2CAF0A27"/>
    <w:rsid w:val="2CB766D5"/>
    <w:rsid w:val="2CB85EBB"/>
    <w:rsid w:val="2CF47E87"/>
    <w:rsid w:val="2CFD4C94"/>
    <w:rsid w:val="2D026F13"/>
    <w:rsid w:val="2D442F9B"/>
    <w:rsid w:val="2D4F7415"/>
    <w:rsid w:val="2D55663C"/>
    <w:rsid w:val="2DA11379"/>
    <w:rsid w:val="2DCC7592"/>
    <w:rsid w:val="2DCF7C84"/>
    <w:rsid w:val="2DF742FA"/>
    <w:rsid w:val="2E1916FF"/>
    <w:rsid w:val="2E4B2A44"/>
    <w:rsid w:val="2E593BD9"/>
    <w:rsid w:val="2E642A90"/>
    <w:rsid w:val="2E7E6696"/>
    <w:rsid w:val="2E9B5E4D"/>
    <w:rsid w:val="2EC10058"/>
    <w:rsid w:val="2EE11BBB"/>
    <w:rsid w:val="2EF26E54"/>
    <w:rsid w:val="2EFF7332"/>
    <w:rsid w:val="2F0507D2"/>
    <w:rsid w:val="2F1251F2"/>
    <w:rsid w:val="2F12691B"/>
    <w:rsid w:val="2F145DEF"/>
    <w:rsid w:val="2F164D03"/>
    <w:rsid w:val="2F32386F"/>
    <w:rsid w:val="2F4041C5"/>
    <w:rsid w:val="2F4A1A43"/>
    <w:rsid w:val="2F527C47"/>
    <w:rsid w:val="2F531BA0"/>
    <w:rsid w:val="2F5F18C7"/>
    <w:rsid w:val="2F680FB0"/>
    <w:rsid w:val="2F763010"/>
    <w:rsid w:val="2FA43556"/>
    <w:rsid w:val="2FAB18A7"/>
    <w:rsid w:val="2FC466EF"/>
    <w:rsid w:val="2FE121C4"/>
    <w:rsid w:val="2FE25467"/>
    <w:rsid w:val="2FF35C7F"/>
    <w:rsid w:val="300C3127"/>
    <w:rsid w:val="30340B2C"/>
    <w:rsid w:val="30630322"/>
    <w:rsid w:val="30757753"/>
    <w:rsid w:val="308A7014"/>
    <w:rsid w:val="308B0955"/>
    <w:rsid w:val="30962F3E"/>
    <w:rsid w:val="30D17E68"/>
    <w:rsid w:val="30DD0B04"/>
    <w:rsid w:val="30F135B1"/>
    <w:rsid w:val="30FF2795"/>
    <w:rsid w:val="3104005C"/>
    <w:rsid w:val="31041101"/>
    <w:rsid w:val="310D2A9F"/>
    <w:rsid w:val="316C03FB"/>
    <w:rsid w:val="31915735"/>
    <w:rsid w:val="31BA37C1"/>
    <w:rsid w:val="31E246A3"/>
    <w:rsid w:val="31E30DF1"/>
    <w:rsid w:val="32052414"/>
    <w:rsid w:val="321340A6"/>
    <w:rsid w:val="32301AE3"/>
    <w:rsid w:val="3249317D"/>
    <w:rsid w:val="326239D6"/>
    <w:rsid w:val="32623D15"/>
    <w:rsid w:val="32743FD7"/>
    <w:rsid w:val="327F5333"/>
    <w:rsid w:val="329A6ACE"/>
    <w:rsid w:val="329F03DF"/>
    <w:rsid w:val="32A06931"/>
    <w:rsid w:val="32A06D01"/>
    <w:rsid w:val="32B63D4B"/>
    <w:rsid w:val="32C71585"/>
    <w:rsid w:val="32DA4D50"/>
    <w:rsid w:val="32E567A7"/>
    <w:rsid w:val="32F7144A"/>
    <w:rsid w:val="32F93EF3"/>
    <w:rsid w:val="33461A7E"/>
    <w:rsid w:val="3356041A"/>
    <w:rsid w:val="33596B12"/>
    <w:rsid w:val="336C703B"/>
    <w:rsid w:val="337714EE"/>
    <w:rsid w:val="33797245"/>
    <w:rsid w:val="337D5E43"/>
    <w:rsid w:val="338C04D6"/>
    <w:rsid w:val="33A87B95"/>
    <w:rsid w:val="33B63187"/>
    <w:rsid w:val="33CE0DC9"/>
    <w:rsid w:val="33D364EE"/>
    <w:rsid w:val="33D72EE2"/>
    <w:rsid w:val="33E52344"/>
    <w:rsid w:val="3415248C"/>
    <w:rsid w:val="34163C77"/>
    <w:rsid w:val="342919FE"/>
    <w:rsid w:val="34362B69"/>
    <w:rsid w:val="3439569D"/>
    <w:rsid w:val="34447873"/>
    <w:rsid w:val="34786487"/>
    <w:rsid w:val="347D7A32"/>
    <w:rsid w:val="348E4BFF"/>
    <w:rsid w:val="34935EFF"/>
    <w:rsid w:val="349F636B"/>
    <w:rsid w:val="34AD74D9"/>
    <w:rsid w:val="34B1755C"/>
    <w:rsid w:val="34C34180"/>
    <w:rsid w:val="34C737E6"/>
    <w:rsid w:val="34DE5DCD"/>
    <w:rsid w:val="34E1194D"/>
    <w:rsid w:val="350C7A1A"/>
    <w:rsid w:val="351A4C15"/>
    <w:rsid w:val="357205B3"/>
    <w:rsid w:val="35885313"/>
    <w:rsid w:val="35AF6DC8"/>
    <w:rsid w:val="35CB6FF6"/>
    <w:rsid w:val="35DE3F72"/>
    <w:rsid w:val="35DF3A8D"/>
    <w:rsid w:val="360B1D73"/>
    <w:rsid w:val="36144313"/>
    <w:rsid w:val="361F3323"/>
    <w:rsid w:val="363417C9"/>
    <w:rsid w:val="3651059D"/>
    <w:rsid w:val="365F023B"/>
    <w:rsid w:val="36652FB7"/>
    <w:rsid w:val="36C16D48"/>
    <w:rsid w:val="36DF520B"/>
    <w:rsid w:val="36E60988"/>
    <w:rsid w:val="36E93760"/>
    <w:rsid w:val="36F15C54"/>
    <w:rsid w:val="37057DDE"/>
    <w:rsid w:val="37157B14"/>
    <w:rsid w:val="371B7DB3"/>
    <w:rsid w:val="37237FBD"/>
    <w:rsid w:val="373A314E"/>
    <w:rsid w:val="37515AFF"/>
    <w:rsid w:val="37523682"/>
    <w:rsid w:val="376855C9"/>
    <w:rsid w:val="37712677"/>
    <w:rsid w:val="37714CBA"/>
    <w:rsid w:val="3784394E"/>
    <w:rsid w:val="37D02183"/>
    <w:rsid w:val="37D20EE5"/>
    <w:rsid w:val="37E3516A"/>
    <w:rsid w:val="37F00D14"/>
    <w:rsid w:val="37F21BD6"/>
    <w:rsid w:val="37F434A4"/>
    <w:rsid w:val="38144F46"/>
    <w:rsid w:val="381D0C5E"/>
    <w:rsid w:val="381E18BD"/>
    <w:rsid w:val="381E7F12"/>
    <w:rsid w:val="382536DB"/>
    <w:rsid w:val="38297384"/>
    <w:rsid w:val="38356861"/>
    <w:rsid w:val="38393323"/>
    <w:rsid w:val="38410CEB"/>
    <w:rsid w:val="388247F6"/>
    <w:rsid w:val="38900AD9"/>
    <w:rsid w:val="38AB1CD2"/>
    <w:rsid w:val="38AE3BB0"/>
    <w:rsid w:val="38D77892"/>
    <w:rsid w:val="38DB1F09"/>
    <w:rsid w:val="38F73026"/>
    <w:rsid w:val="394E03DB"/>
    <w:rsid w:val="39555962"/>
    <w:rsid w:val="395607A0"/>
    <w:rsid w:val="3967089A"/>
    <w:rsid w:val="39882443"/>
    <w:rsid w:val="3997168C"/>
    <w:rsid w:val="39B535F0"/>
    <w:rsid w:val="39B57119"/>
    <w:rsid w:val="39DB336A"/>
    <w:rsid w:val="39EC7EBC"/>
    <w:rsid w:val="39F751C7"/>
    <w:rsid w:val="3A1F636F"/>
    <w:rsid w:val="3A370821"/>
    <w:rsid w:val="3A4A58E1"/>
    <w:rsid w:val="3A4C17D3"/>
    <w:rsid w:val="3A5D3D12"/>
    <w:rsid w:val="3A7765AB"/>
    <w:rsid w:val="3A9D37FB"/>
    <w:rsid w:val="3AB06E32"/>
    <w:rsid w:val="3ACB5746"/>
    <w:rsid w:val="3AD26FBB"/>
    <w:rsid w:val="3AE14B65"/>
    <w:rsid w:val="3B002B68"/>
    <w:rsid w:val="3B070AA1"/>
    <w:rsid w:val="3B0F6F35"/>
    <w:rsid w:val="3B221001"/>
    <w:rsid w:val="3B343541"/>
    <w:rsid w:val="3B54709C"/>
    <w:rsid w:val="3B7042E5"/>
    <w:rsid w:val="3BA008F2"/>
    <w:rsid w:val="3BAB221C"/>
    <w:rsid w:val="3BB20883"/>
    <w:rsid w:val="3BB22A62"/>
    <w:rsid w:val="3BC61CF7"/>
    <w:rsid w:val="3BE83E67"/>
    <w:rsid w:val="3BEB5061"/>
    <w:rsid w:val="3C0C7420"/>
    <w:rsid w:val="3C2913B7"/>
    <w:rsid w:val="3C342CB5"/>
    <w:rsid w:val="3CA02A19"/>
    <w:rsid w:val="3CA142B8"/>
    <w:rsid w:val="3CAA47F3"/>
    <w:rsid w:val="3CCC4BD1"/>
    <w:rsid w:val="3CE10723"/>
    <w:rsid w:val="3CE866EC"/>
    <w:rsid w:val="3CEF2214"/>
    <w:rsid w:val="3CF8749F"/>
    <w:rsid w:val="3CFE1EA1"/>
    <w:rsid w:val="3D0B3DD7"/>
    <w:rsid w:val="3D0F64F2"/>
    <w:rsid w:val="3D1F0EBF"/>
    <w:rsid w:val="3D2754C3"/>
    <w:rsid w:val="3D3449EE"/>
    <w:rsid w:val="3D6371C7"/>
    <w:rsid w:val="3D9A40F2"/>
    <w:rsid w:val="3DA8275C"/>
    <w:rsid w:val="3DBC5C66"/>
    <w:rsid w:val="3DC345FA"/>
    <w:rsid w:val="3DCF028A"/>
    <w:rsid w:val="3DEE5A3E"/>
    <w:rsid w:val="3DF136E8"/>
    <w:rsid w:val="3DFE518C"/>
    <w:rsid w:val="3E2B7359"/>
    <w:rsid w:val="3E441C7D"/>
    <w:rsid w:val="3E537B52"/>
    <w:rsid w:val="3E6D2957"/>
    <w:rsid w:val="3E774042"/>
    <w:rsid w:val="3E796FCD"/>
    <w:rsid w:val="3EAF4621"/>
    <w:rsid w:val="3EBF6AF6"/>
    <w:rsid w:val="3EF92EA4"/>
    <w:rsid w:val="3F054C57"/>
    <w:rsid w:val="3F194D84"/>
    <w:rsid w:val="3F2C44E8"/>
    <w:rsid w:val="3F52618D"/>
    <w:rsid w:val="3F831F54"/>
    <w:rsid w:val="3F8D31F7"/>
    <w:rsid w:val="3F943749"/>
    <w:rsid w:val="3F9F3E20"/>
    <w:rsid w:val="3FB01867"/>
    <w:rsid w:val="3FB5755C"/>
    <w:rsid w:val="3FC60A1C"/>
    <w:rsid w:val="3FC956FF"/>
    <w:rsid w:val="3FF309D1"/>
    <w:rsid w:val="40021780"/>
    <w:rsid w:val="400F1A8E"/>
    <w:rsid w:val="4083760F"/>
    <w:rsid w:val="408C090C"/>
    <w:rsid w:val="40A36A71"/>
    <w:rsid w:val="40DB36E7"/>
    <w:rsid w:val="40E50C29"/>
    <w:rsid w:val="410045B8"/>
    <w:rsid w:val="410E4736"/>
    <w:rsid w:val="41582A96"/>
    <w:rsid w:val="416130D3"/>
    <w:rsid w:val="416377BA"/>
    <w:rsid w:val="41A87B35"/>
    <w:rsid w:val="41D3631F"/>
    <w:rsid w:val="41D376E9"/>
    <w:rsid w:val="41F40A4F"/>
    <w:rsid w:val="41F466FD"/>
    <w:rsid w:val="420972D6"/>
    <w:rsid w:val="421215FC"/>
    <w:rsid w:val="421657AF"/>
    <w:rsid w:val="42217CB3"/>
    <w:rsid w:val="423A294F"/>
    <w:rsid w:val="42662F57"/>
    <w:rsid w:val="42796923"/>
    <w:rsid w:val="42A67A24"/>
    <w:rsid w:val="42BB022E"/>
    <w:rsid w:val="42D846B9"/>
    <w:rsid w:val="42EE5981"/>
    <w:rsid w:val="42F94010"/>
    <w:rsid w:val="43032E86"/>
    <w:rsid w:val="4308228F"/>
    <w:rsid w:val="43101E1F"/>
    <w:rsid w:val="431101F2"/>
    <w:rsid w:val="433709F2"/>
    <w:rsid w:val="43407E5D"/>
    <w:rsid w:val="4363707E"/>
    <w:rsid w:val="43A530D5"/>
    <w:rsid w:val="43A63ACD"/>
    <w:rsid w:val="43A7465A"/>
    <w:rsid w:val="43DD5A2B"/>
    <w:rsid w:val="43F80349"/>
    <w:rsid w:val="44010F7F"/>
    <w:rsid w:val="440962BF"/>
    <w:rsid w:val="440D5045"/>
    <w:rsid w:val="44136EA0"/>
    <w:rsid w:val="444F08C8"/>
    <w:rsid w:val="44683FA9"/>
    <w:rsid w:val="44BA0CA6"/>
    <w:rsid w:val="44C40C6E"/>
    <w:rsid w:val="44E438A4"/>
    <w:rsid w:val="44F14EB5"/>
    <w:rsid w:val="45067A95"/>
    <w:rsid w:val="451927B1"/>
    <w:rsid w:val="45684AB3"/>
    <w:rsid w:val="45765A37"/>
    <w:rsid w:val="457A1E0B"/>
    <w:rsid w:val="457A637E"/>
    <w:rsid w:val="457C5A2E"/>
    <w:rsid w:val="459247E8"/>
    <w:rsid w:val="45A57801"/>
    <w:rsid w:val="45BE6191"/>
    <w:rsid w:val="45E77B03"/>
    <w:rsid w:val="45EA4E42"/>
    <w:rsid w:val="460C5979"/>
    <w:rsid w:val="462F15B4"/>
    <w:rsid w:val="46322114"/>
    <w:rsid w:val="464D67A7"/>
    <w:rsid w:val="4654234E"/>
    <w:rsid w:val="46950871"/>
    <w:rsid w:val="46A81D06"/>
    <w:rsid w:val="46B81357"/>
    <w:rsid w:val="46C2730E"/>
    <w:rsid w:val="46E12759"/>
    <w:rsid w:val="46F376B5"/>
    <w:rsid w:val="47083B35"/>
    <w:rsid w:val="470C218E"/>
    <w:rsid w:val="470E1C44"/>
    <w:rsid w:val="47120A94"/>
    <w:rsid w:val="472954C4"/>
    <w:rsid w:val="472D76EC"/>
    <w:rsid w:val="473E0378"/>
    <w:rsid w:val="47770D34"/>
    <w:rsid w:val="477941E7"/>
    <w:rsid w:val="477F3153"/>
    <w:rsid w:val="47913E0A"/>
    <w:rsid w:val="47950D0E"/>
    <w:rsid w:val="479768E4"/>
    <w:rsid w:val="47A90F91"/>
    <w:rsid w:val="47B00298"/>
    <w:rsid w:val="47BB2256"/>
    <w:rsid w:val="47BE1900"/>
    <w:rsid w:val="47C01792"/>
    <w:rsid w:val="47C7066A"/>
    <w:rsid w:val="47CC2B23"/>
    <w:rsid w:val="4808150F"/>
    <w:rsid w:val="48712547"/>
    <w:rsid w:val="487713F0"/>
    <w:rsid w:val="488323FD"/>
    <w:rsid w:val="489E5439"/>
    <w:rsid w:val="48B01327"/>
    <w:rsid w:val="48C66B50"/>
    <w:rsid w:val="48D1344C"/>
    <w:rsid w:val="48D23129"/>
    <w:rsid w:val="48DD2936"/>
    <w:rsid w:val="48DF2806"/>
    <w:rsid w:val="48E73AB4"/>
    <w:rsid w:val="49197FB0"/>
    <w:rsid w:val="49333F5D"/>
    <w:rsid w:val="493578C2"/>
    <w:rsid w:val="494D2151"/>
    <w:rsid w:val="49BA19AA"/>
    <w:rsid w:val="49CA7442"/>
    <w:rsid w:val="49E9233D"/>
    <w:rsid w:val="49F52C4A"/>
    <w:rsid w:val="4A4F4A58"/>
    <w:rsid w:val="4A5743A3"/>
    <w:rsid w:val="4A613930"/>
    <w:rsid w:val="4A722963"/>
    <w:rsid w:val="4A873B4F"/>
    <w:rsid w:val="4A9679CA"/>
    <w:rsid w:val="4AAD1944"/>
    <w:rsid w:val="4AAE64B2"/>
    <w:rsid w:val="4AC31003"/>
    <w:rsid w:val="4AC75C43"/>
    <w:rsid w:val="4ACC4FFF"/>
    <w:rsid w:val="4ACC5E85"/>
    <w:rsid w:val="4AE93159"/>
    <w:rsid w:val="4B283586"/>
    <w:rsid w:val="4B440553"/>
    <w:rsid w:val="4B537BE8"/>
    <w:rsid w:val="4B5460CA"/>
    <w:rsid w:val="4B8F34D0"/>
    <w:rsid w:val="4B9B1C48"/>
    <w:rsid w:val="4BD0339A"/>
    <w:rsid w:val="4BF03DC8"/>
    <w:rsid w:val="4C0C5A57"/>
    <w:rsid w:val="4C0E7BC3"/>
    <w:rsid w:val="4C2536DE"/>
    <w:rsid w:val="4C29524D"/>
    <w:rsid w:val="4C84025E"/>
    <w:rsid w:val="4C8A54BB"/>
    <w:rsid w:val="4C955C8A"/>
    <w:rsid w:val="4CC9255E"/>
    <w:rsid w:val="4CD24D11"/>
    <w:rsid w:val="4D462159"/>
    <w:rsid w:val="4D571E3F"/>
    <w:rsid w:val="4D5C5FAC"/>
    <w:rsid w:val="4D644D42"/>
    <w:rsid w:val="4D9429A8"/>
    <w:rsid w:val="4D9B02FE"/>
    <w:rsid w:val="4DA047C6"/>
    <w:rsid w:val="4DBF6E51"/>
    <w:rsid w:val="4DC605B6"/>
    <w:rsid w:val="4DD807D4"/>
    <w:rsid w:val="4DEC0985"/>
    <w:rsid w:val="4DF35865"/>
    <w:rsid w:val="4E157A18"/>
    <w:rsid w:val="4E192AC4"/>
    <w:rsid w:val="4E2658E6"/>
    <w:rsid w:val="4E27683A"/>
    <w:rsid w:val="4E3E5FCA"/>
    <w:rsid w:val="4E5475D2"/>
    <w:rsid w:val="4E9836A8"/>
    <w:rsid w:val="4EB23297"/>
    <w:rsid w:val="4EC50D95"/>
    <w:rsid w:val="4EC62132"/>
    <w:rsid w:val="4EC705EC"/>
    <w:rsid w:val="4EC93FBD"/>
    <w:rsid w:val="4F027C1E"/>
    <w:rsid w:val="4F2765B1"/>
    <w:rsid w:val="4F285975"/>
    <w:rsid w:val="4F4134A5"/>
    <w:rsid w:val="4F494687"/>
    <w:rsid w:val="4F7E333B"/>
    <w:rsid w:val="4F9263C7"/>
    <w:rsid w:val="4FBB5E80"/>
    <w:rsid w:val="4FC40B58"/>
    <w:rsid w:val="4FD929B3"/>
    <w:rsid w:val="5004466F"/>
    <w:rsid w:val="50141410"/>
    <w:rsid w:val="50241F6C"/>
    <w:rsid w:val="50372630"/>
    <w:rsid w:val="50384B73"/>
    <w:rsid w:val="503D5CFC"/>
    <w:rsid w:val="503E4709"/>
    <w:rsid w:val="50554158"/>
    <w:rsid w:val="50887CB0"/>
    <w:rsid w:val="50A51771"/>
    <w:rsid w:val="50B4498B"/>
    <w:rsid w:val="50C05272"/>
    <w:rsid w:val="50C53B21"/>
    <w:rsid w:val="5106416E"/>
    <w:rsid w:val="510D4C8D"/>
    <w:rsid w:val="512C687A"/>
    <w:rsid w:val="514F4029"/>
    <w:rsid w:val="51796EDE"/>
    <w:rsid w:val="517D4D31"/>
    <w:rsid w:val="51822456"/>
    <w:rsid w:val="51867298"/>
    <w:rsid w:val="5193767A"/>
    <w:rsid w:val="51AD0A0B"/>
    <w:rsid w:val="51B55E00"/>
    <w:rsid w:val="51DB13CA"/>
    <w:rsid w:val="51EB25FD"/>
    <w:rsid w:val="52195EDF"/>
    <w:rsid w:val="52313387"/>
    <w:rsid w:val="52326E4F"/>
    <w:rsid w:val="52380733"/>
    <w:rsid w:val="524060E4"/>
    <w:rsid w:val="5251759D"/>
    <w:rsid w:val="525C66C5"/>
    <w:rsid w:val="52744531"/>
    <w:rsid w:val="52B63FF4"/>
    <w:rsid w:val="52BB2842"/>
    <w:rsid w:val="52BC5461"/>
    <w:rsid w:val="52C0248E"/>
    <w:rsid w:val="52CC766D"/>
    <w:rsid w:val="52E04D27"/>
    <w:rsid w:val="52EB7199"/>
    <w:rsid w:val="52F07751"/>
    <w:rsid w:val="53104F2D"/>
    <w:rsid w:val="531C1FC4"/>
    <w:rsid w:val="533C14FB"/>
    <w:rsid w:val="53543B29"/>
    <w:rsid w:val="536A7BE8"/>
    <w:rsid w:val="538F5761"/>
    <w:rsid w:val="539A390F"/>
    <w:rsid w:val="539B0488"/>
    <w:rsid w:val="53A41F8E"/>
    <w:rsid w:val="53AD6B40"/>
    <w:rsid w:val="53B05DEA"/>
    <w:rsid w:val="53BB31B7"/>
    <w:rsid w:val="53C60EE7"/>
    <w:rsid w:val="53DB3477"/>
    <w:rsid w:val="53E52AD5"/>
    <w:rsid w:val="53F62D3A"/>
    <w:rsid w:val="53FB3C11"/>
    <w:rsid w:val="541E0EA0"/>
    <w:rsid w:val="545177CB"/>
    <w:rsid w:val="545E288B"/>
    <w:rsid w:val="546224E7"/>
    <w:rsid w:val="54AF6B42"/>
    <w:rsid w:val="54C960CE"/>
    <w:rsid w:val="55406494"/>
    <w:rsid w:val="5545563A"/>
    <w:rsid w:val="55553D2C"/>
    <w:rsid w:val="555574E1"/>
    <w:rsid w:val="55593320"/>
    <w:rsid w:val="555A684A"/>
    <w:rsid w:val="558948AE"/>
    <w:rsid w:val="55913A13"/>
    <w:rsid w:val="55BB270A"/>
    <w:rsid w:val="55C14585"/>
    <w:rsid w:val="55CD2839"/>
    <w:rsid w:val="55D67401"/>
    <w:rsid w:val="55D95937"/>
    <w:rsid w:val="55DB558C"/>
    <w:rsid w:val="55DD6F2A"/>
    <w:rsid w:val="55E66DE6"/>
    <w:rsid w:val="55FB27DB"/>
    <w:rsid w:val="55FD3A1F"/>
    <w:rsid w:val="55FD57BE"/>
    <w:rsid w:val="55FE02F9"/>
    <w:rsid w:val="56013F76"/>
    <w:rsid w:val="561A0469"/>
    <w:rsid w:val="56222213"/>
    <w:rsid w:val="56422F9A"/>
    <w:rsid w:val="5644498E"/>
    <w:rsid w:val="565C7EE0"/>
    <w:rsid w:val="568B355D"/>
    <w:rsid w:val="569D1DF0"/>
    <w:rsid w:val="56AA25FF"/>
    <w:rsid w:val="56AB0DCF"/>
    <w:rsid w:val="56E23970"/>
    <w:rsid w:val="56F71621"/>
    <w:rsid w:val="570670D3"/>
    <w:rsid w:val="57180EF6"/>
    <w:rsid w:val="573C506B"/>
    <w:rsid w:val="575A7304"/>
    <w:rsid w:val="576B291D"/>
    <w:rsid w:val="577A3C7D"/>
    <w:rsid w:val="577B6BC3"/>
    <w:rsid w:val="577D247B"/>
    <w:rsid w:val="578F220A"/>
    <w:rsid w:val="579C13D2"/>
    <w:rsid w:val="57A7145A"/>
    <w:rsid w:val="57EA534A"/>
    <w:rsid w:val="57F74C7A"/>
    <w:rsid w:val="57FB73AA"/>
    <w:rsid w:val="57FC07D9"/>
    <w:rsid w:val="58177E10"/>
    <w:rsid w:val="581B5327"/>
    <w:rsid w:val="58422043"/>
    <w:rsid w:val="58500F22"/>
    <w:rsid w:val="58656369"/>
    <w:rsid w:val="58710315"/>
    <w:rsid w:val="589E7907"/>
    <w:rsid w:val="58B06786"/>
    <w:rsid w:val="58B614DA"/>
    <w:rsid w:val="58B73899"/>
    <w:rsid w:val="58BC5557"/>
    <w:rsid w:val="58E61853"/>
    <w:rsid w:val="58EB53F3"/>
    <w:rsid w:val="58FB5F91"/>
    <w:rsid w:val="590208B8"/>
    <w:rsid w:val="590436B6"/>
    <w:rsid w:val="590D1452"/>
    <w:rsid w:val="591C0009"/>
    <w:rsid w:val="59220E85"/>
    <w:rsid w:val="59632EA1"/>
    <w:rsid w:val="596D1F3A"/>
    <w:rsid w:val="59830DDC"/>
    <w:rsid w:val="59D14E2F"/>
    <w:rsid w:val="59E61B64"/>
    <w:rsid w:val="5A022789"/>
    <w:rsid w:val="5A2046D4"/>
    <w:rsid w:val="5A283911"/>
    <w:rsid w:val="5A3B5B70"/>
    <w:rsid w:val="5A6B71CB"/>
    <w:rsid w:val="5A6F78C6"/>
    <w:rsid w:val="5AB31098"/>
    <w:rsid w:val="5ACF0F3A"/>
    <w:rsid w:val="5AD22BBE"/>
    <w:rsid w:val="5AEA7DEE"/>
    <w:rsid w:val="5B1F3F21"/>
    <w:rsid w:val="5B421ABD"/>
    <w:rsid w:val="5B486D72"/>
    <w:rsid w:val="5B4B1E6D"/>
    <w:rsid w:val="5B6315B9"/>
    <w:rsid w:val="5B687229"/>
    <w:rsid w:val="5B6C26DE"/>
    <w:rsid w:val="5B700BE6"/>
    <w:rsid w:val="5B86687B"/>
    <w:rsid w:val="5B975CC7"/>
    <w:rsid w:val="5B990441"/>
    <w:rsid w:val="5BA77282"/>
    <w:rsid w:val="5BC644AB"/>
    <w:rsid w:val="5BCA199C"/>
    <w:rsid w:val="5BF92461"/>
    <w:rsid w:val="5C0B3729"/>
    <w:rsid w:val="5C2C1728"/>
    <w:rsid w:val="5C3D5859"/>
    <w:rsid w:val="5C463793"/>
    <w:rsid w:val="5C5F6E9A"/>
    <w:rsid w:val="5C6B1600"/>
    <w:rsid w:val="5C7960E9"/>
    <w:rsid w:val="5C921AD0"/>
    <w:rsid w:val="5CA020A8"/>
    <w:rsid w:val="5CC66B99"/>
    <w:rsid w:val="5CFA3ADB"/>
    <w:rsid w:val="5D4C7AD8"/>
    <w:rsid w:val="5D5046CF"/>
    <w:rsid w:val="5D6A62E1"/>
    <w:rsid w:val="5D787300"/>
    <w:rsid w:val="5D9A19C7"/>
    <w:rsid w:val="5D9D35FA"/>
    <w:rsid w:val="5DB11F56"/>
    <w:rsid w:val="5DDE216A"/>
    <w:rsid w:val="5DF13C83"/>
    <w:rsid w:val="5DFD51DB"/>
    <w:rsid w:val="5E072EA7"/>
    <w:rsid w:val="5E0D36E5"/>
    <w:rsid w:val="5E787BD7"/>
    <w:rsid w:val="5E8711DF"/>
    <w:rsid w:val="5E911548"/>
    <w:rsid w:val="5EA608AA"/>
    <w:rsid w:val="5EA6379D"/>
    <w:rsid w:val="5EBA0E6C"/>
    <w:rsid w:val="5EDD0321"/>
    <w:rsid w:val="5EE4122E"/>
    <w:rsid w:val="5EEB6012"/>
    <w:rsid w:val="5EF207EB"/>
    <w:rsid w:val="5EFC1424"/>
    <w:rsid w:val="5F50230E"/>
    <w:rsid w:val="5F5E55EC"/>
    <w:rsid w:val="5F625997"/>
    <w:rsid w:val="5F764AFD"/>
    <w:rsid w:val="5FC90F9E"/>
    <w:rsid w:val="5FEE53E1"/>
    <w:rsid w:val="5FF1406F"/>
    <w:rsid w:val="603F6C6F"/>
    <w:rsid w:val="604A5C8A"/>
    <w:rsid w:val="604C08B9"/>
    <w:rsid w:val="606103F7"/>
    <w:rsid w:val="607374DC"/>
    <w:rsid w:val="607C3753"/>
    <w:rsid w:val="608D01B9"/>
    <w:rsid w:val="60912B7C"/>
    <w:rsid w:val="60C30855"/>
    <w:rsid w:val="60D37EAF"/>
    <w:rsid w:val="60DB1EFF"/>
    <w:rsid w:val="60DE6095"/>
    <w:rsid w:val="60E2600C"/>
    <w:rsid w:val="60E9600B"/>
    <w:rsid w:val="60FC647A"/>
    <w:rsid w:val="61131F9A"/>
    <w:rsid w:val="61280E5E"/>
    <w:rsid w:val="61421EFD"/>
    <w:rsid w:val="614716CE"/>
    <w:rsid w:val="614B5348"/>
    <w:rsid w:val="615C5041"/>
    <w:rsid w:val="61996EC4"/>
    <w:rsid w:val="61AA3034"/>
    <w:rsid w:val="61C36804"/>
    <w:rsid w:val="61E62A2A"/>
    <w:rsid w:val="620D38FD"/>
    <w:rsid w:val="62111BA0"/>
    <w:rsid w:val="621E51BC"/>
    <w:rsid w:val="62216C6C"/>
    <w:rsid w:val="6240718C"/>
    <w:rsid w:val="6245063D"/>
    <w:rsid w:val="624F54FF"/>
    <w:rsid w:val="627D6E80"/>
    <w:rsid w:val="628C1D03"/>
    <w:rsid w:val="62B569E6"/>
    <w:rsid w:val="62D074F3"/>
    <w:rsid w:val="62D343AC"/>
    <w:rsid w:val="62E757E9"/>
    <w:rsid w:val="62EA08CF"/>
    <w:rsid w:val="62EF6179"/>
    <w:rsid w:val="633A6746"/>
    <w:rsid w:val="633D7663"/>
    <w:rsid w:val="6343799D"/>
    <w:rsid w:val="639C388C"/>
    <w:rsid w:val="639E61A5"/>
    <w:rsid w:val="63A5128D"/>
    <w:rsid w:val="63C57D48"/>
    <w:rsid w:val="63DB6813"/>
    <w:rsid w:val="63EE3229"/>
    <w:rsid w:val="63FE0D55"/>
    <w:rsid w:val="642B5C2D"/>
    <w:rsid w:val="645F2B4B"/>
    <w:rsid w:val="64D16C41"/>
    <w:rsid w:val="64D93DFD"/>
    <w:rsid w:val="64E37CB5"/>
    <w:rsid w:val="64E63530"/>
    <w:rsid w:val="64F93532"/>
    <w:rsid w:val="64FE5610"/>
    <w:rsid w:val="650D717F"/>
    <w:rsid w:val="651176AC"/>
    <w:rsid w:val="651D4015"/>
    <w:rsid w:val="655D449B"/>
    <w:rsid w:val="6560510E"/>
    <w:rsid w:val="65636C8E"/>
    <w:rsid w:val="65880ED5"/>
    <w:rsid w:val="65885282"/>
    <w:rsid w:val="65A43193"/>
    <w:rsid w:val="65AD322B"/>
    <w:rsid w:val="65C72A95"/>
    <w:rsid w:val="65CC6260"/>
    <w:rsid w:val="65CE03DF"/>
    <w:rsid w:val="65D3669A"/>
    <w:rsid w:val="65D6683A"/>
    <w:rsid w:val="65ED7F05"/>
    <w:rsid w:val="661A631A"/>
    <w:rsid w:val="661D74D6"/>
    <w:rsid w:val="662E4B5F"/>
    <w:rsid w:val="664805B8"/>
    <w:rsid w:val="66533145"/>
    <w:rsid w:val="66657E78"/>
    <w:rsid w:val="667E3F6E"/>
    <w:rsid w:val="66A33DDC"/>
    <w:rsid w:val="66C66465"/>
    <w:rsid w:val="66CD764F"/>
    <w:rsid w:val="66DE4A7F"/>
    <w:rsid w:val="66E60894"/>
    <w:rsid w:val="66FF757A"/>
    <w:rsid w:val="672B5340"/>
    <w:rsid w:val="674A453F"/>
    <w:rsid w:val="6755427F"/>
    <w:rsid w:val="679A2001"/>
    <w:rsid w:val="67A262C6"/>
    <w:rsid w:val="67AE1682"/>
    <w:rsid w:val="67AF5AC5"/>
    <w:rsid w:val="67B76730"/>
    <w:rsid w:val="67CC58D4"/>
    <w:rsid w:val="67D33795"/>
    <w:rsid w:val="67D44E71"/>
    <w:rsid w:val="67EA558C"/>
    <w:rsid w:val="67EB36F3"/>
    <w:rsid w:val="67FC6F39"/>
    <w:rsid w:val="68050472"/>
    <w:rsid w:val="6819713F"/>
    <w:rsid w:val="68295AA9"/>
    <w:rsid w:val="685063F8"/>
    <w:rsid w:val="68692337"/>
    <w:rsid w:val="68A44353"/>
    <w:rsid w:val="68A95288"/>
    <w:rsid w:val="68B30165"/>
    <w:rsid w:val="68B96553"/>
    <w:rsid w:val="68D746D7"/>
    <w:rsid w:val="68DA29E7"/>
    <w:rsid w:val="68F173DF"/>
    <w:rsid w:val="68F85254"/>
    <w:rsid w:val="68FA7EEB"/>
    <w:rsid w:val="69021D00"/>
    <w:rsid w:val="690F418B"/>
    <w:rsid w:val="691D4663"/>
    <w:rsid w:val="69663C8F"/>
    <w:rsid w:val="6971710A"/>
    <w:rsid w:val="697C42A5"/>
    <w:rsid w:val="69A44437"/>
    <w:rsid w:val="69B955F5"/>
    <w:rsid w:val="69C26273"/>
    <w:rsid w:val="69D53FB9"/>
    <w:rsid w:val="69F22286"/>
    <w:rsid w:val="69F33BEC"/>
    <w:rsid w:val="6A050036"/>
    <w:rsid w:val="6A077DF1"/>
    <w:rsid w:val="6A4C156E"/>
    <w:rsid w:val="6A4C3EB0"/>
    <w:rsid w:val="6A7A2736"/>
    <w:rsid w:val="6A7B4B9C"/>
    <w:rsid w:val="6A861A9E"/>
    <w:rsid w:val="6ACF16C3"/>
    <w:rsid w:val="6AE87DB0"/>
    <w:rsid w:val="6AEF3AA7"/>
    <w:rsid w:val="6B11721B"/>
    <w:rsid w:val="6B141743"/>
    <w:rsid w:val="6B242CB6"/>
    <w:rsid w:val="6B2B5D9D"/>
    <w:rsid w:val="6B490423"/>
    <w:rsid w:val="6B4C50B7"/>
    <w:rsid w:val="6B797179"/>
    <w:rsid w:val="6B7C51CC"/>
    <w:rsid w:val="6B970AD4"/>
    <w:rsid w:val="6BA867BD"/>
    <w:rsid w:val="6BC76E0D"/>
    <w:rsid w:val="6BD71937"/>
    <w:rsid w:val="6BF45B6C"/>
    <w:rsid w:val="6C060C7F"/>
    <w:rsid w:val="6C25725C"/>
    <w:rsid w:val="6C273F9F"/>
    <w:rsid w:val="6C5059E8"/>
    <w:rsid w:val="6C5503DA"/>
    <w:rsid w:val="6C685602"/>
    <w:rsid w:val="6C6C4C7B"/>
    <w:rsid w:val="6C73220C"/>
    <w:rsid w:val="6C89456C"/>
    <w:rsid w:val="6CF8209A"/>
    <w:rsid w:val="6D025BC6"/>
    <w:rsid w:val="6D0B42F4"/>
    <w:rsid w:val="6D16208F"/>
    <w:rsid w:val="6D3C10C2"/>
    <w:rsid w:val="6D414E1F"/>
    <w:rsid w:val="6D667D08"/>
    <w:rsid w:val="6D8E6825"/>
    <w:rsid w:val="6D93457C"/>
    <w:rsid w:val="6D980FB9"/>
    <w:rsid w:val="6D9C61FD"/>
    <w:rsid w:val="6DA651B2"/>
    <w:rsid w:val="6DAB6D0E"/>
    <w:rsid w:val="6DAC1469"/>
    <w:rsid w:val="6DAF4AB2"/>
    <w:rsid w:val="6DB20201"/>
    <w:rsid w:val="6DB91E5B"/>
    <w:rsid w:val="6DCF2FA4"/>
    <w:rsid w:val="6E2B62EA"/>
    <w:rsid w:val="6E300DF1"/>
    <w:rsid w:val="6E97718E"/>
    <w:rsid w:val="6E993208"/>
    <w:rsid w:val="6EAF0E12"/>
    <w:rsid w:val="6EB45AAE"/>
    <w:rsid w:val="6EBA6FC8"/>
    <w:rsid w:val="6ECF299E"/>
    <w:rsid w:val="6EED3726"/>
    <w:rsid w:val="6F1412BD"/>
    <w:rsid w:val="6F166925"/>
    <w:rsid w:val="6F545C09"/>
    <w:rsid w:val="6F603769"/>
    <w:rsid w:val="6F901B66"/>
    <w:rsid w:val="6F904121"/>
    <w:rsid w:val="6F9C3B59"/>
    <w:rsid w:val="6FA034D2"/>
    <w:rsid w:val="6FA629D4"/>
    <w:rsid w:val="6FBF5C46"/>
    <w:rsid w:val="6FC576EF"/>
    <w:rsid w:val="6FD10552"/>
    <w:rsid w:val="6FFB31AD"/>
    <w:rsid w:val="70326005"/>
    <w:rsid w:val="70377A1D"/>
    <w:rsid w:val="70940037"/>
    <w:rsid w:val="70957692"/>
    <w:rsid w:val="70AF2F64"/>
    <w:rsid w:val="70B035AE"/>
    <w:rsid w:val="70B5123E"/>
    <w:rsid w:val="70BB2EF0"/>
    <w:rsid w:val="70F82402"/>
    <w:rsid w:val="712E718A"/>
    <w:rsid w:val="715041BA"/>
    <w:rsid w:val="7153156A"/>
    <w:rsid w:val="71570257"/>
    <w:rsid w:val="716B6229"/>
    <w:rsid w:val="71862D0D"/>
    <w:rsid w:val="71915503"/>
    <w:rsid w:val="7192257D"/>
    <w:rsid w:val="719814B6"/>
    <w:rsid w:val="71A92859"/>
    <w:rsid w:val="71D8457E"/>
    <w:rsid w:val="71DB44A2"/>
    <w:rsid w:val="71E20C76"/>
    <w:rsid w:val="71F80849"/>
    <w:rsid w:val="720B325E"/>
    <w:rsid w:val="723C0D11"/>
    <w:rsid w:val="72411A48"/>
    <w:rsid w:val="72454855"/>
    <w:rsid w:val="72547EC4"/>
    <w:rsid w:val="725D4D53"/>
    <w:rsid w:val="725E14F7"/>
    <w:rsid w:val="72886F6A"/>
    <w:rsid w:val="72CF4263"/>
    <w:rsid w:val="72EE259A"/>
    <w:rsid w:val="72FD2494"/>
    <w:rsid w:val="73197180"/>
    <w:rsid w:val="73455C21"/>
    <w:rsid w:val="735161D0"/>
    <w:rsid w:val="735E01CF"/>
    <w:rsid w:val="73AB7F97"/>
    <w:rsid w:val="73B8077C"/>
    <w:rsid w:val="73BB3CD6"/>
    <w:rsid w:val="73C41938"/>
    <w:rsid w:val="73D425F7"/>
    <w:rsid w:val="73E13215"/>
    <w:rsid w:val="73E84C8E"/>
    <w:rsid w:val="73F735AF"/>
    <w:rsid w:val="74021E4C"/>
    <w:rsid w:val="7420188B"/>
    <w:rsid w:val="7425472E"/>
    <w:rsid w:val="742647DB"/>
    <w:rsid w:val="7430077C"/>
    <w:rsid w:val="745D3418"/>
    <w:rsid w:val="74AA2F50"/>
    <w:rsid w:val="74E93770"/>
    <w:rsid w:val="75014B8F"/>
    <w:rsid w:val="750A2023"/>
    <w:rsid w:val="75165E8F"/>
    <w:rsid w:val="75611212"/>
    <w:rsid w:val="75791C85"/>
    <w:rsid w:val="75793FE9"/>
    <w:rsid w:val="759A2AB7"/>
    <w:rsid w:val="75BB51C1"/>
    <w:rsid w:val="75BF7A08"/>
    <w:rsid w:val="75E40C40"/>
    <w:rsid w:val="75FA6C1A"/>
    <w:rsid w:val="76206BF0"/>
    <w:rsid w:val="76425B24"/>
    <w:rsid w:val="764A7DFA"/>
    <w:rsid w:val="76574574"/>
    <w:rsid w:val="76643AA0"/>
    <w:rsid w:val="76645242"/>
    <w:rsid w:val="7676736A"/>
    <w:rsid w:val="76933951"/>
    <w:rsid w:val="76DF3D50"/>
    <w:rsid w:val="771D661B"/>
    <w:rsid w:val="771F475C"/>
    <w:rsid w:val="771F7714"/>
    <w:rsid w:val="77264859"/>
    <w:rsid w:val="773E4513"/>
    <w:rsid w:val="77452F68"/>
    <w:rsid w:val="77525D87"/>
    <w:rsid w:val="775A780B"/>
    <w:rsid w:val="7764683F"/>
    <w:rsid w:val="777B7BF8"/>
    <w:rsid w:val="77815704"/>
    <w:rsid w:val="77B108E4"/>
    <w:rsid w:val="77B12149"/>
    <w:rsid w:val="77B641D9"/>
    <w:rsid w:val="77B84934"/>
    <w:rsid w:val="77BE7DE9"/>
    <w:rsid w:val="77C651A7"/>
    <w:rsid w:val="77DA3A47"/>
    <w:rsid w:val="77E15536"/>
    <w:rsid w:val="77E8667F"/>
    <w:rsid w:val="78326432"/>
    <w:rsid w:val="783C23EB"/>
    <w:rsid w:val="784C06E5"/>
    <w:rsid w:val="784F42F7"/>
    <w:rsid w:val="78662AD7"/>
    <w:rsid w:val="78782A0D"/>
    <w:rsid w:val="78797925"/>
    <w:rsid w:val="787A701F"/>
    <w:rsid w:val="78A06BC3"/>
    <w:rsid w:val="78AC1FEA"/>
    <w:rsid w:val="78B01A78"/>
    <w:rsid w:val="78BF3BB2"/>
    <w:rsid w:val="7908737C"/>
    <w:rsid w:val="790A10CB"/>
    <w:rsid w:val="792977D4"/>
    <w:rsid w:val="793E4823"/>
    <w:rsid w:val="79485294"/>
    <w:rsid w:val="794D1783"/>
    <w:rsid w:val="795E552B"/>
    <w:rsid w:val="798537BE"/>
    <w:rsid w:val="799C2707"/>
    <w:rsid w:val="79A2171F"/>
    <w:rsid w:val="79A252FF"/>
    <w:rsid w:val="79AB0E36"/>
    <w:rsid w:val="79B86297"/>
    <w:rsid w:val="79D33056"/>
    <w:rsid w:val="79E5405B"/>
    <w:rsid w:val="79ED12A4"/>
    <w:rsid w:val="79F159CD"/>
    <w:rsid w:val="79FE32EE"/>
    <w:rsid w:val="7A015D03"/>
    <w:rsid w:val="7A0B5628"/>
    <w:rsid w:val="7A0F6B5B"/>
    <w:rsid w:val="7A305BBE"/>
    <w:rsid w:val="7A5D4556"/>
    <w:rsid w:val="7AE236D7"/>
    <w:rsid w:val="7AEF0CD2"/>
    <w:rsid w:val="7B2C2995"/>
    <w:rsid w:val="7B3900BD"/>
    <w:rsid w:val="7B5F27E7"/>
    <w:rsid w:val="7B8F0C9B"/>
    <w:rsid w:val="7BAD6246"/>
    <w:rsid w:val="7BDD441D"/>
    <w:rsid w:val="7C073D88"/>
    <w:rsid w:val="7C120A01"/>
    <w:rsid w:val="7C26369C"/>
    <w:rsid w:val="7C3E6BF1"/>
    <w:rsid w:val="7C4D1850"/>
    <w:rsid w:val="7C722295"/>
    <w:rsid w:val="7C7E1F12"/>
    <w:rsid w:val="7C9A79F4"/>
    <w:rsid w:val="7C9E5A24"/>
    <w:rsid w:val="7CAC00CB"/>
    <w:rsid w:val="7CB0518C"/>
    <w:rsid w:val="7D0B51CF"/>
    <w:rsid w:val="7D2C2A02"/>
    <w:rsid w:val="7D365C28"/>
    <w:rsid w:val="7D3A2113"/>
    <w:rsid w:val="7D3E66DF"/>
    <w:rsid w:val="7D415807"/>
    <w:rsid w:val="7D457879"/>
    <w:rsid w:val="7D481C8C"/>
    <w:rsid w:val="7D4D3ABE"/>
    <w:rsid w:val="7D575412"/>
    <w:rsid w:val="7D62117D"/>
    <w:rsid w:val="7D6C6FCC"/>
    <w:rsid w:val="7D7B35FF"/>
    <w:rsid w:val="7D7F522E"/>
    <w:rsid w:val="7D7F70BD"/>
    <w:rsid w:val="7D815945"/>
    <w:rsid w:val="7D9B687D"/>
    <w:rsid w:val="7DA15156"/>
    <w:rsid w:val="7DB54254"/>
    <w:rsid w:val="7DB960B0"/>
    <w:rsid w:val="7DF1144E"/>
    <w:rsid w:val="7E066BAB"/>
    <w:rsid w:val="7E3354C8"/>
    <w:rsid w:val="7E38594E"/>
    <w:rsid w:val="7E3A3FF6"/>
    <w:rsid w:val="7E3E1EF2"/>
    <w:rsid w:val="7E5E6237"/>
    <w:rsid w:val="7E813B15"/>
    <w:rsid w:val="7E951513"/>
    <w:rsid w:val="7EEF7616"/>
    <w:rsid w:val="7EF74FC9"/>
    <w:rsid w:val="7EFA0438"/>
    <w:rsid w:val="7F082656"/>
    <w:rsid w:val="7F1C5072"/>
    <w:rsid w:val="7F2E4098"/>
    <w:rsid w:val="7F39213F"/>
    <w:rsid w:val="7F5777AD"/>
    <w:rsid w:val="7F5D06E2"/>
    <w:rsid w:val="7F756962"/>
    <w:rsid w:val="7F9268C8"/>
    <w:rsid w:val="7F9309D6"/>
    <w:rsid w:val="7F9717C8"/>
    <w:rsid w:val="7FB073A4"/>
    <w:rsid w:val="7FBF617D"/>
    <w:rsid w:val="7FC42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95E420-76BE-4D05-A046-2D5F21B2B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after="200" w:line="276"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a"/>
    <w:next w:val="a"/>
    <w:qFormat/>
    <w:pPr>
      <w:spacing w:before="180"/>
      <w:ind w:rightChars="100" w:right="10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a"/>
    <w:next w:val="a"/>
    <w:uiPriority w:val="9"/>
    <w:qFormat/>
    <w:pPr>
      <w:keepNext/>
      <w:numPr>
        <w:ilvl w:val="3"/>
        <w:numId w:val="2"/>
      </w:numPr>
      <w:spacing w:before="60" w:after="120"/>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pPr>
      <w:spacing w:after="0" w:line="240" w:lineRule="auto"/>
    </w:pPr>
    <w:rPr>
      <w:rFonts w:ascii="Tahoma" w:hAnsi="Tahoma" w:cs="Tahoma"/>
      <w:sz w:val="16"/>
      <w:szCs w:val="16"/>
    </w:rPr>
  </w:style>
  <w:style w:type="paragraph" w:styleId="a5">
    <w:name w:val="annotation text"/>
    <w:basedOn w:val="a"/>
    <w:link w:val="Char0"/>
    <w:uiPriority w:val="99"/>
    <w:semiHidden/>
    <w:unhideWhenUsed/>
    <w:qFormat/>
    <w:pPr>
      <w:jc w:val="left"/>
    </w:pPr>
  </w:style>
  <w:style w:type="paragraph" w:styleId="20">
    <w:name w:val="List 2"/>
    <w:basedOn w:val="a"/>
    <w:qFormat/>
    <w:pPr>
      <w:ind w:left="851"/>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6">
    <w:name w:val="Balloon Text"/>
    <w:basedOn w:val="a"/>
    <w:link w:val="Char1"/>
    <w:uiPriority w:val="99"/>
    <w:semiHidden/>
    <w:unhideWhenUsed/>
    <w:qFormat/>
    <w:pPr>
      <w:spacing w:after="0" w:line="240" w:lineRule="auto"/>
    </w:pPr>
    <w:rPr>
      <w:rFonts w:ascii="Tahoma" w:hAnsi="Tahoma" w:cs="Tahoma"/>
      <w:sz w:val="16"/>
      <w:szCs w:val="16"/>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semiHidden/>
    <w:qFormat/>
    <w:pPr>
      <w:tabs>
        <w:tab w:val="center" w:pos="4680"/>
        <w:tab w:val="right" w:pos="9360"/>
      </w:tabs>
      <w:spacing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9">
    <w:name w:val="List"/>
    <w:basedOn w:val="a"/>
    <w:qFormat/>
    <w:pPr>
      <w:ind w:left="568" w:hanging="284"/>
    </w:pPr>
  </w:style>
  <w:style w:type="paragraph" w:styleId="aa">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b">
    <w:name w:val="Normal (Web)"/>
    <w:basedOn w:val="a"/>
    <w:uiPriority w:val="99"/>
    <w:semiHidden/>
    <w:unhideWhenUsed/>
    <w:qFormat/>
    <w:pPr>
      <w:spacing w:beforeAutospacing="1" w:after="0" w:afterAutospacing="1"/>
      <w:jc w:val="left"/>
    </w:pPr>
    <w:rPr>
      <w:kern w:val="0"/>
      <w:sz w:val="24"/>
    </w:rPr>
  </w:style>
  <w:style w:type="paragraph" w:styleId="ac">
    <w:name w:val="annotation subject"/>
    <w:basedOn w:val="a5"/>
    <w:next w:val="a5"/>
    <w:link w:val="Char4"/>
    <w:uiPriority w:val="99"/>
    <w:semiHidden/>
    <w:unhideWhenUsed/>
    <w:qFormat/>
    <w:pPr>
      <w:spacing w:line="240" w:lineRule="auto"/>
      <w:jc w:val="both"/>
    </w:pPr>
    <w:rPr>
      <w:b/>
      <w:bCs/>
      <w:sz w:val="20"/>
    </w:rPr>
  </w:style>
  <w:style w:type="table" w:styleId="ad">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qFormat/>
    <w:rPr>
      <w:color w:val="0000FF" w:themeColor="hyperlink"/>
      <w:u w:val="single"/>
    </w:rPr>
  </w:style>
  <w:style w:type="character" w:styleId="af">
    <w:name w:val="annotation reference"/>
    <w:uiPriority w:val="99"/>
    <w:qFormat/>
    <w:rPr>
      <w:sz w:val="16"/>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YJ--">
    <w:name w:val="YJ--正文"/>
    <w:basedOn w:val="a"/>
    <w:qFormat/>
    <w:pPr>
      <w:spacing w:line="240" w:lineRule="auto"/>
      <w:ind w:firstLineChars="200" w:firstLine="1440"/>
    </w:pPr>
    <w:rPr>
      <w:rFonts w:eastAsia="Times New Roman" w:cs="宋体"/>
    </w:rPr>
  </w:style>
  <w:style w:type="paragraph" w:customStyle="1" w:styleId="sub-proposal">
    <w:name w:val="sub-proposal"/>
    <w:basedOn w:val="YJ-Proposal"/>
    <w:next w:val="a"/>
    <w:qFormat/>
    <w:pPr>
      <w:numPr>
        <w:numId w:val="5"/>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6"/>
      </w:numPr>
      <w:ind w:leftChars="400" w:left="1282" w:hanging="442"/>
    </w:pPr>
  </w:style>
  <w:style w:type="paragraph" w:customStyle="1" w:styleId="3rdlevelobservation">
    <w:name w:val="3rd level observation"/>
    <w:basedOn w:val="sub-observation"/>
    <w:qFormat/>
    <w:pPr>
      <w:numPr>
        <w:numId w:val="7"/>
      </w:numPr>
      <w:ind w:leftChars="400" w:left="1282" w:hanging="442"/>
    </w:pPr>
  </w:style>
  <w:style w:type="paragraph" w:customStyle="1" w:styleId="References">
    <w:name w:val="References"/>
    <w:basedOn w:val="a"/>
    <w:qFormat/>
    <w:pPr>
      <w:numPr>
        <w:numId w:val="8"/>
      </w:numPr>
      <w:spacing w:after="60"/>
    </w:pPr>
    <w:rPr>
      <w:szCs w:val="16"/>
    </w:rPr>
  </w:style>
  <w:style w:type="paragraph" w:styleId="af0">
    <w:name w:val="List Paragraph"/>
    <w:basedOn w:val="a"/>
    <w:link w:val="Char5"/>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paragraph" w:customStyle="1" w:styleId="Style1">
    <w:name w:val="Style1"/>
    <w:basedOn w:val="a"/>
    <w:qFormat/>
    <w:pPr>
      <w:spacing w:after="100" w:afterAutospacing="1" w:line="300" w:lineRule="auto"/>
      <w:ind w:firstLine="360"/>
      <w:contextualSpacing/>
    </w:p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Times New Roman" w:hAnsi="Times New Roman" w:cs="Times New Roman" w:hint="default"/>
      <w:color w:val="000000"/>
      <w:sz w:val="21"/>
      <w:szCs w:val="21"/>
      <w:u w:val="none"/>
    </w:rPr>
  </w:style>
  <w:style w:type="character" w:customStyle="1" w:styleId="font01">
    <w:name w:val="font01"/>
    <w:basedOn w:val="a0"/>
    <w:qFormat/>
    <w:rPr>
      <w:rFonts w:ascii="Times New Roman" w:hAnsi="Times New Roman" w:cs="Times New Roman" w:hint="default"/>
      <w:color w:val="000000"/>
      <w:sz w:val="20"/>
      <w:szCs w:val="20"/>
      <w:u w:val="none"/>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szCs w:val="22"/>
    </w:rPr>
  </w:style>
  <w:style w:type="paragraph" w:customStyle="1" w:styleId="B1">
    <w:name w:val="B1"/>
    <w:basedOn w:val="a9"/>
    <w:link w:val="B1Zchn"/>
    <w:qFormat/>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B2">
    <w:name w:val="B2"/>
    <w:basedOn w:val="20"/>
    <w:link w:val="B2Char"/>
    <w:qFormat/>
  </w:style>
  <w:style w:type="character" w:customStyle="1" w:styleId="Char1">
    <w:name w:val="批注框文本 Char"/>
    <w:basedOn w:val="a0"/>
    <w:link w:val="a6"/>
    <w:uiPriority w:val="99"/>
    <w:semiHidden/>
    <w:qFormat/>
    <w:rPr>
      <w:rFonts w:ascii="Tahoma" w:hAnsi="Tahoma" w:cs="Tahoma"/>
      <w:kern w:val="2"/>
      <w:sz w:val="16"/>
      <w:szCs w:val="16"/>
    </w:rPr>
  </w:style>
  <w:style w:type="character" w:customStyle="1" w:styleId="Char">
    <w:name w:val="文档结构图 Char"/>
    <w:basedOn w:val="a0"/>
    <w:link w:val="a4"/>
    <w:uiPriority w:val="99"/>
    <w:semiHidden/>
    <w:qFormat/>
    <w:rPr>
      <w:rFonts w:ascii="Tahoma" w:hAnsi="Tahoma" w:cs="Tahoma"/>
      <w:kern w:val="2"/>
      <w:sz w:val="16"/>
      <w:szCs w:val="16"/>
    </w:rPr>
  </w:style>
  <w:style w:type="character" w:customStyle="1" w:styleId="Char0">
    <w:name w:val="批注文字 Char"/>
    <w:basedOn w:val="a0"/>
    <w:link w:val="a5"/>
    <w:uiPriority w:val="99"/>
    <w:semiHidden/>
    <w:qFormat/>
    <w:rPr>
      <w:kern w:val="2"/>
      <w:sz w:val="21"/>
    </w:rPr>
  </w:style>
  <w:style w:type="character" w:customStyle="1" w:styleId="Char4">
    <w:name w:val="批注主题 Char"/>
    <w:basedOn w:val="Char0"/>
    <w:link w:val="ac"/>
    <w:qFormat/>
    <w:rPr>
      <w:kern w:val="2"/>
      <w:sz w:val="21"/>
    </w:rPr>
  </w:style>
  <w:style w:type="paragraph" w:customStyle="1" w:styleId="maintext">
    <w:name w:val="main text"/>
    <w:basedOn w:val="a"/>
    <w:qFormat/>
    <w:pPr>
      <w:spacing w:before="60" w:after="60" w:line="288" w:lineRule="auto"/>
      <w:ind w:firstLineChars="200" w:firstLine="200"/>
    </w:pPr>
    <w:rPr>
      <w:rFonts w:eastAsia="Malgun Gothic"/>
      <w:szCs w:val="24"/>
      <w:lang w:eastAsia="ko-KR"/>
    </w:rPr>
  </w:style>
  <w:style w:type="character" w:customStyle="1" w:styleId="Char3">
    <w:name w:val="页眉 Char"/>
    <w:basedOn w:val="a0"/>
    <w:link w:val="a8"/>
    <w:semiHidden/>
    <w:qFormat/>
    <w:rPr>
      <w:kern w:val="2"/>
      <w:sz w:val="21"/>
    </w:rPr>
  </w:style>
  <w:style w:type="character" w:customStyle="1" w:styleId="Char2">
    <w:name w:val="页脚 Char"/>
    <w:basedOn w:val="a0"/>
    <w:link w:val="a7"/>
    <w:uiPriority w:val="99"/>
    <w:qFormat/>
    <w:rPr>
      <w:kern w:val="2"/>
      <w:sz w:val="18"/>
      <w:szCs w:val="18"/>
    </w:rPr>
  </w:style>
  <w:style w:type="character" w:customStyle="1" w:styleId="B1Zchn">
    <w:name w:val="B1 Zchn"/>
    <w:link w:val="B1"/>
    <w:qFormat/>
    <w:rPr>
      <w:kern w:val="2"/>
      <w:sz w:val="21"/>
    </w:rPr>
  </w:style>
  <w:style w:type="character" w:customStyle="1" w:styleId="B2Char">
    <w:name w:val="B2 Char"/>
    <w:link w:val="B2"/>
    <w:qFormat/>
    <w:rPr>
      <w:kern w:val="2"/>
      <w:sz w:val="21"/>
    </w:rPr>
  </w:style>
  <w:style w:type="character" w:customStyle="1" w:styleId="Char5">
    <w:name w:val="列出段落 Char"/>
    <w:link w:val="af0"/>
    <w:uiPriority w:val="34"/>
    <w:qFormat/>
    <w:rPr>
      <w:rFonts w:ascii="Times New Roman" w:eastAsia="Times New Roman" w:hAnsi="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825528-C2F9-49D0-997D-6653EC896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1433</Words>
  <Characters>8173</Characters>
  <Application>Microsoft Office Word</Application>
  <DocSecurity>0</DocSecurity>
  <Lines>68</Lines>
  <Paragraphs>19</Paragraphs>
  <ScaleCrop>false</ScaleCrop>
  <Company>Microsoft</Company>
  <LinksUpToDate>false</LinksUpToDate>
  <CharactersWithSpaces>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XWM</cp:lastModifiedBy>
  <cp:revision>115</cp:revision>
  <dcterms:created xsi:type="dcterms:W3CDTF">2019-04-08T03:09:00Z</dcterms:created>
  <dcterms:modified xsi:type="dcterms:W3CDTF">2020-10-23T06:54:00Z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